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2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060"/>
        <w:gridCol w:w="4239"/>
      </w:tblGrid>
      <w:tr w:rsidR="00AD2065" w:rsidRPr="00245C55" w:rsidTr="00AB2EBB">
        <w:trPr>
          <w:trHeight w:val="915"/>
        </w:trPr>
        <w:tc>
          <w:tcPr>
            <w:tcW w:w="5644" w:type="dxa"/>
            <w:vAlign w:val="center"/>
          </w:tcPr>
          <w:p w:rsidR="00C943E5" w:rsidRPr="00245C55" w:rsidRDefault="00686008" w:rsidP="006231F0">
            <w:pPr>
              <w:pStyle w:val="stbilgi"/>
              <w:jc w:val="right"/>
              <w:rPr>
                <w:rFonts w:eastAsiaTheme="majorEastAsia" w:cs="Times New Roman"/>
                <w:sz w:val="36"/>
                <w:szCs w:val="36"/>
              </w:rPr>
            </w:pPr>
            <w:bookmarkStart w:id="0" w:name="_GoBack"/>
            <w:bookmarkEnd w:id="0"/>
            <w:r w:rsidRPr="00245C55">
              <w:rPr>
                <w:rFonts w:eastAsiaTheme="majorEastAsia" w:cs="Times New Roman"/>
                <w:sz w:val="36"/>
                <w:szCs w:val="36"/>
              </w:rPr>
              <w:t>201</w:t>
            </w:r>
            <w:r w:rsidR="00FE2984" w:rsidRPr="00245C55">
              <w:rPr>
                <w:rFonts w:eastAsiaTheme="majorEastAsia" w:cs="Times New Roman"/>
                <w:sz w:val="36"/>
                <w:szCs w:val="36"/>
              </w:rPr>
              <w:t>8</w:t>
            </w:r>
            <w:r w:rsidR="00AD2065" w:rsidRPr="00245C55">
              <w:rPr>
                <w:rFonts w:eastAsiaTheme="majorEastAsia" w:cs="Times New Roman"/>
                <w:sz w:val="36"/>
                <w:szCs w:val="36"/>
              </w:rPr>
              <w:t xml:space="preserve"> </w:t>
            </w:r>
            <w:r w:rsidR="003E7C4A">
              <w:rPr>
                <w:rFonts w:eastAsiaTheme="majorEastAsia" w:cs="Times New Roman"/>
                <w:sz w:val="36"/>
                <w:szCs w:val="36"/>
              </w:rPr>
              <w:t>IV</w:t>
            </w:r>
            <w:r w:rsidR="00356EC9">
              <w:rPr>
                <w:rFonts w:eastAsiaTheme="majorEastAsia" w:cs="Times New Roman"/>
                <w:sz w:val="36"/>
                <w:szCs w:val="36"/>
              </w:rPr>
              <w:t>. Çeyrek</w:t>
            </w:r>
          </w:p>
          <w:p w:rsidR="00AD2065" w:rsidRPr="00245C55" w:rsidRDefault="00356EC9" w:rsidP="004D4775">
            <w:pPr>
              <w:pStyle w:val="stbilgi"/>
              <w:jc w:val="right"/>
              <w:rPr>
                <w:rFonts w:eastAsiaTheme="majorEastAsia" w:cs="Times New Roman"/>
                <w:sz w:val="36"/>
                <w:szCs w:val="36"/>
              </w:rPr>
            </w:pPr>
            <w:r w:rsidRPr="00356EC9">
              <w:rPr>
                <w:rFonts w:eastAsiaTheme="majorEastAsia" w:cs="Times New Roman"/>
                <w:sz w:val="36"/>
                <w:szCs w:val="36"/>
              </w:rPr>
              <w:t>G</w:t>
            </w:r>
            <w:r w:rsidR="004D4775">
              <w:rPr>
                <w:rFonts w:eastAsiaTheme="majorEastAsia" w:cs="Times New Roman"/>
                <w:sz w:val="36"/>
                <w:szCs w:val="36"/>
              </w:rPr>
              <w:t>SYH Değerleri</w:t>
            </w:r>
          </w:p>
        </w:tc>
        <w:tc>
          <w:tcPr>
            <w:tcW w:w="4678" w:type="dxa"/>
          </w:tcPr>
          <w:p w:rsidR="00AD2065" w:rsidRPr="00245C55" w:rsidRDefault="003E7C4A" w:rsidP="00FE2984">
            <w:pPr>
              <w:pStyle w:val="stbilgi"/>
              <w:spacing w:line="276" w:lineRule="auto"/>
              <w:jc w:val="center"/>
              <w:rPr>
                <w:rFonts w:eastAsiaTheme="majorEastAsia" w:cs="Times New Roman"/>
                <w:b/>
                <w:bCs/>
                <w:color w:val="4F81BD" w:themeColor="accent1"/>
                <w:sz w:val="36"/>
                <w:szCs w:val="36"/>
              </w:rPr>
            </w:pPr>
            <w:r>
              <w:rPr>
                <w:rFonts w:eastAsiaTheme="majorEastAsia" w:cs="Times New Roman"/>
                <w:bCs/>
                <w:sz w:val="28"/>
                <w:szCs w:val="36"/>
              </w:rPr>
              <w:t>11</w:t>
            </w:r>
            <w:r w:rsidR="004361F2" w:rsidRPr="00245C55">
              <w:rPr>
                <w:rFonts w:eastAsiaTheme="majorEastAsia" w:cs="Times New Roman"/>
                <w:bCs/>
                <w:sz w:val="28"/>
                <w:szCs w:val="36"/>
              </w:rPr>
              <w:t xml:space="preserve"> </w:t>
            </w:r>
            <w:r>
              <w:rPr>
                <w:rFonts w:eastAsiaTheme="majorEastAsia" w:cs="Times New Roman"/>
                <w:bCs/>
                <w:sz w:val="28"/>
                <w:szCs w:val="36"/>
              </w:rPr>
              <w:t>Mart</w:t>
            </w:r>
            <w:r w:rsidR="001524B1" w:rsidRPr="00245C55">
              <w:rPr>
                <w:rFonts w:eastAsiaTheme="majorEastAsia" w:cs="Times New Roman"/>
                <w:bCs/>
                <w:sz w:val="28"/>
                <w:szCs w:val="36"/>
              </w:rPr>
              <w:t xml:space="preserve"> </w:t>
            </w:r>
            <w:r w:rsidR="00AD2065" w:rsidRPr="00245C55">
              <w:rPr>
                <w:rFonts w:eastAsiaTheme="majorEastAsia" w:cs="Times New Roman"/>
                <w:bCs/>
                <w:sz w:val="28"/>
                <w:szCs w:val="36"/>
              </w:rPr>
              <w:t>201</w:t>
            </w:r>
            <w:r>
              <w:rPr>
                <w:rFonts w:eastAsiaTheme="majorEastAsia" w:cs="Times New Roman"/>
                <w:bCs/>
                <w:sz w:val="28"/>
                <w:szCs w:val="36"/>
              </w:rPr>
              <w:t>9</w:t>
            </w:r>
            <w:r w:rsidR="00AD2065" w:rsidRPr="00245C55">
              <w:rPr>
                <w:rFonts w:eastAsiaTheme="majorEastAsia" w:cs="Times New Roman"/>
                <w:bCs/>
                <w:sz w:val="28"/>
                <w:szCs w:val="36"/>
              </w:rPr>
              <w:t xml:space="preserve">  </w:t>
            </w:r>
            <w:r w:rsidR="00AD2065" w:rsidRPr="00245C55">
              <w:rPr>
                <w:rFonts w:eastAsiaTheme="majorEastAsia" w:cs="Times New Roman"/>
                <w:b/>
                <w:bCs/>
                <w:noProof/>
                <w:color w:val="4F81BD" w:themeColor="accent1"/>
                <w:sz w:val="36"/>
                <w:szCs w:val="36"/>
              </w:rPr>
              <w:drawing>
                <wp:inline distT="0" distB="0" distL="0" distR="0" wp14:anchorId="6B8700E8" wp14:editId="353AAAB6">
                  <wp:extent cx="892754" cy="533400"/>
                  <wp:effectExtent l="0" t="0" r="0" b="0"/>
                  <wp:docPr id="2" name="Resim 2" descr="C:\Users\asus\Desktop\tep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tepa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754" cy="533400"/>
                          </a:xfrm>
                          <a:prstGeom prst="rect">
                            <a:avLst/>
                          </a:prstGeom>
                          <a:noFill/>
                          <a:ln>
                            <a:noFill/>
                          </a:ln>
                        </pic:spPr>
                      </pic:pic>
                    </a:graphicData>
                  </a:graphic>
                </wp:inline>
              </w:drawing>
            </w:r>
            <w:r w:rsidR="00AD2065" w:rsidRPr="00245C55">
              <w:rPr>
                <w:rFonts w:eastAsiaTheme="majorEastAsia" w:cs="Times New Roman"/>
                <w:bCs/>
                <w:sz w:val="28"/>
                <w:szCs w:val="36"/>
              </w:rPr>
              <w:t xml:space="preserve">    </w:t>
            </w:r>
            <w:r w:rsidR="00C86D2C" w:rsidRPr="00245C55">
              <w:rPr>
                <w:rFonts w:eastAsiaTheme="majorEastAsia" w:cs="Times New Roman"/>
                <w:bCs/>
                <w:sz w:val="28"/>
                <w:szCs w:val="36"/>
              </w:rPr>
              <w:t xml:space="preserve"> </w:t>
            </w:r>
            <w:r w:rsidR="00AD2065" w:rsidRPr="00245C55">
              <w:rPr>
                <w:rFonts w:eastAsiaTheme="majorEastAsia" w:cs="Times New Roman"/>
                <w:bCs/>
                <w:sz w:val="28"/>
                <w:szCs w:val="36"/>
              </w:rPr>
              <w:t xml:space="preserve">         </w:t>
            </w:r>
          </w:p>
        </w:tc>
      </w:tr>
    </w:tbl>
    <w:p w:rsidR="00AD2065" w:rsidRPr="00245C55" w:rsidRDefault="00AD2065" w:rsidP="00AD2065">
      <w:pPr>
        <w:pStyle w:val="stbilgi"/>
        <w:rPr>
          <w:rFonts w:cs="Times New Roman"/>
        </w:rPr>
      </w:pPr>
    </w:p>
    <w:p w:rsidR="00AD2065" w:rsidRPr="00134C18" w:rsidRDefault="00FE2984" w:rsidP="00134C18">
      <w:pPr>
        <w:rPr>
          <w:b/>
        </w:rPr>
      </w:pPr>
      <w:r w:rsidRPr="00134C18">
        <w:rPr>
          <w:b/>
        </w:rPr>
        <w:t xml:space="preserve">Gayrisafi Yurt İçi </w:t>
      </w:r>
      <w:proofErr w:type="gramStart"/>
      <w:r w:rsidRPr="00134C18">
        <w:rPr>
          <w:b/>
        </w:rPr>
        <w:t>Hasıla</w:t>
      </w:r>
      <w:proofErr w:type="gramEnd"/>
      <w:r w:rsidR="000C66EB" w:rsidRPr="00134C18">
        <w:rPr>
          <w:b/>
        </w:rPr>
        <w:t xml:space="preserve"> (GSYH)</w:t>
      </w:r>
      <w:r w:rsidRPr="00134C18">
        <w:rPr>
          <w:b/>
        </w:rPr>
        <w:t xml:space="preserve"> </w:t>
      </w:r>
      <w:r w:rsidR="003E7C4A">
        <w:rPr>
          <w:b/>
        </w:rPr>
        <w:t>dördüncü</w:t>
      </w:r>
      <w:r w:rsidRPr="00134C18">
        <w:rPr>
          <w:b/>
        </w:rPr>
        <w:t xml:space="preserve"> çeyrek değerlerine</w:t>
      </w:r>
      <w:r w:rsidR="00EF4E45" w:rsidRPr="00134C18">
        <w:rPr>
          <w:b/>
        </w:rPr>
        <w:t xml:space="preserve"> ilişkin veriler Türkiye İstat</w:t>
      </w:r>
      <w:r w:rsidR="00445DB0" w:rsidRPr="00134C18">
        <w:rPr>
          <w:b/>
        </w:rPr>
        <w:t>istik Kurumu (TÜİK) tarafından</w:t>
      </w:r>
      <w:r w:rsidR="000B7D47" w:rsidRPr="00134C18">
        <w:rPr>
          <w:b/>
        </w:rPr>
        <w:t xml:space="preserve"> </w:t>
      </w:r>
      <w:r w:rsidR="003E7C4A">
        <w:rPr>
          <w:b/>
        </w:rPr>
        <w:t>11</w:t>
      </w:r>
      <w:r w:rsidR="00B00458" w:rsidRPr="00134C18">
        <w:rPr>
          <w:b/>
        </w:rPr>
        <w:t xml:space="preserve"> </w:t>
      </w:r>
      <w:r w:rsidR="003E7C4A">
        <w:rPr>
          <w:b/>
        </w:rPr>
        <w:t>Mart</w:t>
      </w:r>
      <w:r w:rsidR="000C5BCA" w:rsidRPr="00134C18">
        <w:rPr>
          <w:b/>
        </w:rPr>
        <w:t xml:space="preserve"> </w:t>
      </w:r>
      <w:r w:rsidR="00817D01" w:rsidRPr="00134C18">
        <w:rPr>
          <w:b/>
        </w:rPr>
        <w:t>201</w:t>
      </w:r>
      <w:r w:rsidR="003E7C4A">
        <w:rPr>
          <w:b/>
        </w:rPr>
        <w:t>9</w:t>
      </w:r>
      <w:r w:rsidR="00EF4E45" w:rsidRPr="00134C18">
        <w:rPr>
          <w:b/>
        </w:rPr>
        <w:t xml:space="preserve"> tarihinde yayımlandı.</w:t>
      </w:r>
    </w:p>
    <w:p w:rsidR="006C7C68" w:rsidRDefault="000C66EB" w:rsidP="006C7C68">
      <w:r w:rsidRPr="00245C55">
        <w:t>TÜİK tarafından çeyreklik dönemlerde yayımlanan GSYH değerleri, Ulusal Hesaplar Sistemi’nde tahmin edilen temel büyüklüklerin en önemlisi ve odak noktasıdır. GSYH, bir ülkedeki belirli bir dönemde üretilen mal ve hizmetlerden dolayı oluşan katma değere ilişkin standart bir ölçü olarak değerlendirilebilir.</w:t>
      </w:r>
      <w:r w:rsidR="006C7C68">
        <w:t xml:space="preserve"> GSYH’nin üretimdeki değişiminin </w:t>
      </w:r>
      <w:r w:rsidR="006C7C68" w:rsidRPr="006C7C68">
        <w:t>daha sağlıklı ölçülebilmesi için enflasyon etkisinin arındırılmasıyla</w:t>
      </w:r>
      <w:r w:rsidR="006C7C68">
        <w:t xml:space="preserve"> z</w:t>
      </w:r>
      <w:r w:rsidR="006C7C68" w:rsidRPr="006C7C68">
        <w:t>incirlenmiş hacim endeks</w:t>
      </w:r>
      <w:r w:rsidR="006C7C68">
        <w:t>i hesaplanmaktadır.</w:t>
      </w:r>
    </w:p>
    <w:p w:rsidR="00EC183C" w:rsidRDefault="00EC183C" w:rsidP="00EC183C">
      <w:r>
        <w:t>Cari fiyatlarla hesaplamalarda; gerçek değişimlerle birlikte fiyat hareketleri de kapsanmaktadır. Yalnızca gerçek değişimlerin izlenebilmesi için fiyat değişikliklerinden gelen etkinin giderilmesi gerekmektedir. Zincirlenmiş hacim endeksleriyle elde edilen GSYH, bu etkiyi yok ederek; belli bir dönemde yer alan gerçek değişmeleri ölçmektedir.</w:t>
      </w:r>
      <w:r w:rsidR="00B17A67">
        <w:rPr>
          <w:rStyle w:val="DipnotBavurusu"/>
        </w:rPr>
        <w:footnoteReference w:id="1"/>
      </w:r>
    </w:p>
    <w:p w:rsidR="00EC183C" w:rsidRDefault="00EC183C" w:rsidP="00EC183C">
      <w:r>
        <w:t xml:space="preserve">Fiyat değişimlerinin etkisinden arındırılıp yalnızca gerçek değişimin ölçülmesi için ise fiyat </w:t>
      </w:r>
      <w:proofErr w:type="gramStart"/>
      <w:r>
        <w:t>yapısının</w:t>
      </w:r>
      <w:proofErr w:type="gramEnd"/>
      <w:r>
        <w:t xml:space="preserve"> güncel olması gerekmektedir. Ardışık iki yıl hesaplamalarında sabit bir yıldaki fiyatın kullanılmasının yerine önceki yılın fiyatları kullanılarak zincirlenmiş hacim endekslerine ulaşıldığında; fiyat değişimlerinden arındırma işlemi daha sağlıklı olmaktadır. </w:t>
      </w:r>
      <w:r w:rsidR="00E5243F">
        <w:t>Ancak zincirleme yöntemler kullanıldığı durumlarda göreli fiyatlar değiştiği için toplamsal olmama sorunu (</w:t>
      </w:r>
      <w:proofErr w:type="spellStart"/>
      <w:r w:rsidR="00E5243F">
        <w:t>nonadditivity</w:t>
      </w:r>
      <w:proofErr w:type="spellEnd"/>
      <w:r w:rsidR="00E5243F">
        <w:t xml:space="preserve"> problem) yöntemin bir dezavantajı olarak karşımıza çıkmaktadır.</w:t>
      </w:r>
      <w:r w:rsidR="006977BC">
        <w:rPr>
          <w:rStyle w:val="DipnotBavurusu"/>
        </w:rPr>
        <w:footnoteReference w:id="2"/>
      </w:r>
    </w:p>
    <w:p w:rsidR="00564E65" w:rsidRPr="00245C55" w:rsidRDefault="00AE466F" w:rsidP="00134C18">
      <w:r w:rsidRPr="00245C55">
        <w:t>Tablo 1’de görüldüğü üzere</w:t>
      </w:r>
      <w:r>
        <w:t xml:space="preserve"> </w:t>
      </w:r>
      <w:r w:rsidRPr="00245C55">
        <w:t>GSYH zincirlenmiş hacim endeks</w:t>
      </w:r>
      <w:r>
        <w:t>inin (</w:t>
      </w:r>
      <w:r w:rsidRPr="00245C55">
        <w:t>2009=100</w:t>
      </w:r>
      <w:r>
        <w:t xml:space="preserve">) </w:t>
      </w:r>
      <w:r w:rsidRPr="00245C55">
        <w:t>bir önceki yılın aynı</w:t>
      </w:r>
      <w:r>
        <w:t xml:space="preserve"> dönemine göre değişim oranı ile hesaplanan GSYH büyüme hızı 2018’in </w:t>
      </w:r>
      <w:r w:rsidR="003E7C4A">
        <w:t>dördüncü çeyreğinde yüzde -3</w:t>
      </w:r>
      <w:r>
        <w:t xml:space="preserve"> </w:t>
      </w:r>
      <w:r w:rsidR="00183446">
        <w:t>seviyesinde gerçekleşmiştir.</w:t>
      </w:r>
      <w:r w:rsidR="0008648D" w:rsidRPr="00245C55">
        <w:t xml:space="preserve"> </w:t>
      </w:r>
      <w:r w:rsidR="0008648D" w:rsidRPr="00DD6A67">
        <w:t xml:space="preserve">Öte yandan </w:t>
      </w:r>
      <w:r w:rsidR="00966127" w:rsidRPr="00DD6A67">
        <w:t>endeks</w:t>
      </w:r>
      <w:r w:rsidR="0008648D" w:rsidRPr="00DD6A67">
        <w:t xml:space="preserve"> bi</w:t>
      </w:r>
      <w:r w:rsidR="00FE0EB4" w:rsidRPr="00DD6A67">
        <w:t>r</w:t>
      </w:r>
      <w:r w:rsidR="0008648D" w:rsidRPr="00DD6A67">
        <w:t xml:space="preserve"> önceki çeyreklik döneme (2018 yılı </w:t>
      </w:r>
      <w:r w:rsidR="00E33514" w:rsidRPr="00DD6A67">
        <w:t>üçüncü</w:t>
      </w:r>
      <w:r w:rsidR="00DD6A67" w:rsidRPr="00DD6A67">
        <w:t xml:space="preserve"> çeyrek) göre ise yüzde -1,8 </w:t>
      </w:r>
      <w:r w:rsidR="0093069E">
        <w:t>düşüş</w:t>
      </w:r>
      <w:r w:rsidR="0093069E" w:rsidRPr="00DD6A67">
        <w:t xml:space="preserve"> </w:t>
      </w:r>
      <w:r w:rsidR="00966127" w:rsidRPr="00DD6A67">
        <w:t>göstermiştir.</w:t>
      </w:r>
      <w:r w:rsidR="00E2203C" w:rsidRPr="00DD6A67">
        <w:t xml:space="preserve"> GSYH</w:t>
      </w:r>
      <w:r w:rsidR="00E2203C" w:rsidRPr="00245C55">
        <w:t xml:space="preserve"> 2018 yılının </w:t>
      </w:r>
      <w:r w:rsidR="00B54C77">
        <w:t>dördüncü</w:t>
      </w:r>
      <w:r w:rsidR="00E2203C" w:rsidRPr="00245C55">
        <w:t xml:space="preserve"> çeyreğinde geçen yılın aynı </w:t>
      </w:r>
      <w:r w:rsidR="00183446">
        <w:t>dönemine</w:t>
      </w:r>
      <w:r w:rsidR="00E2203C" w:rsidRPr="00245C55">
        <w:t xml:space="preserve"> göre yüzde </w:t>
      </w:r>
      <w:r w:rsidR="00C47A5C">
        <w:t>13,4</w:t>
      </w:r>
      <w:r w:rsidR="00650344">
        <w:t xml:space="preserve"> artarak</w:t>
      </w:r>
      <w:r w:rsidR="00C47A5C">
        <w:t>, bir önceki çeyreğe göre ise yüzde 0,7 azalarak</w:t>
      </w:r>
      <w:r w:rsidR="00E2203C" w:rsidRPr="00DD6A67">
        <w:t xml:space="preserve"> </w:t>
      </w:r>
      <w:r w:rsidR="00C47A5C">
        <w:t>1</w:t>
      </w:r>
      <w:r w:rsidR="00DD6A67" w:rsidRPr="00DD6A67">
        <w:t xml:space="preserve"> trilyon </w:t>
      </w:r>
      <w:r w:rsidR="00C47A5C">
        <w:t>1</w:t>
      </w:r>
      <w:r w:rsidR="00DD6A67" w:rsidRPr="00DD6A67">
        <w:t xml:space="preserve">0 milyar </w:t>
      </w:r>
      <w:r w:rsidR="00C47A5C">
        <w:t>114</w:t>
      </w:r>
      <w:r w:rsidR="00DD6A67" w:rsidRPr="00DD6A67">
        <w:t xml:space="preserve"> milyon TL</w:t>
      </w:r>
      <w:r w:rsidR="00DD6A67">
        <w:t xml:space="preserve"> </w:t>
      </w:r>
      <w:r w:rsidR="00E2203C" w:rsidRPr="00245C55">
        <w:t>değerine ulaşmıştır.</w:t>
      </w:r>
      <w:r w:rsidR="009A5E22">
        <w:t xml:space="preserve"> Öte yandan dördüncü çeyrek dönemi ile birlikte açıklanan yıllık GSYH ise bir önceki yıla göre yüzde 19,1 artarak 3 trilyon 700 milyar 989 milyon TL olmuştur.</w:t>
      </w:r>
    </w:p>
    <w:p w:rsidR="00B40511" w:rsidRPr="00245C55" w:rsidRDefault="0085076A" w:rsidP="00134C18">
      <w:r w:rsidRPr="00245C55">
        <w:t>GSYH’yi</w:t>
      </w:r>
      <w:r w:rsidR="00B40511" w:rsidRPr="00245C55">
        <w:t xml:space="preserve"> oluşturan faaliyetler incelendiğinde; 2018 yılının </w:t>
      </w:r>
      <w:r w:rsidR="00650344">
        <w:t>dördüncü</w:t>
      </w:r>
      <w:r w:rsidR="00B40511" w:rsidRPr="00245C55">
        <w:t xml:space="preserve"> çeyreğinde bir önceki yılın aynı çeyreğine göre zincirlenmiş hacim endeksi olarak; tarım sektörü toplam katma değeri yüzde 1,</w:t>
      </w:r>
      <w:r w:rsidR="00650344">
        <w:t>3, sanayi sektörü</w:t>
      </w:r>
      <w:r w:rsidR="00F90F4B">
        <w:t>nün katma değeri ise</w:t>
      </w:r>
      <w:r w:rsidR="00650344">
        <w:t xml:space="preserve"> yüzde 1,1</w:t>
      </w:r>
      <w:r w:rsidR="00B40511" w:rsidRPr="00245C55">
        <w:t xml:space="preserve"> a</w:t>
      </w:r>
      <w:r w:rsidR="00650344">
        <w:t>rtarken inşaat sektörü</w:t>
      </w:r>
      <w:r w:rsidR="00F90F4B">
        <w:t>nün katma değeri</w:t>
      </w:r>
      <w:r w:rsidR="00650344">
        <w:t xml:space="preserve"> yüzde 1,9</w:t>
      </w:r>
      <w:r w:rsidR="00B40511" w:rsidRPr="00245C55">
        <w:t xml:space="preserve"> azal</w:t>
      </w:r>
      <w:r w:rsidR="00CC4B31" w:rsidRPr="00245C55">
        <w:t>mıştır</w:t>
      </w:r>
      <w:r w:rsidR="00B40511" w:rsidRPr="00245C55">
        <w:t>. Ticaret, ulaştırma, konaklama ve yiyecek hizmeti faaliyetlerinin toplamından oluşan hizmetler sektö</w:t>
      </w:r>
      <w:r w:rsidR="00650344">
        <w:t>rünün katma değeri ise yüzde 5,6</w:t>
      </w:r>
      <w:r w:rsidR="00B40511" w:rsidRPr="00245C55">
        <w:t xml:space="preserve"> art</w:t>
      </w:r>
      <w:r w:rsidR="00CC4B31" w:rsidRPr="00245C55">
        <w:t>mıştır</w:t>
      </w:r>
      <w:r w:rsidR="00245C55">
        <w:t xml:space="preserve"> (Tablo </w:t>
      </w:r>
      <w:r w:rsidR="00115460">
        <w:t>3</w:t>
      </w:r>
      <w:r w:rsidR="00245C55">
        <w:t>).</w:t>
      </w:r>
    </w:p>
    <w:p w:rsidR="00851D1C" w:rsidRPr="006977BC" w:rsidRDefault="001C20F2" w:rsidP="006977BC">
      <w:pPr>
        <w:pStyle w:val="rresim"/>
        <w:jc w:val="left"/>
        <w:rPr>
          <w:rFonts w:cs="Times New Roman"/>
          <w:b w:val="0"/>
          <w:sz w:val="14"/>
          <w:szCs w:val="14"/>
        </w:rPr>
      </w:pPr>
      <w:r w:rsidRPr="00870185">
        <w:lastRenderedPageBreak/>
        <w:t xml:space="preserve">Tablo 1: </w:t>
      </w:r>
      <w:r w:rsidR="00530076" w:rsidRPr="00870185">
        <w:t>Gayrisa</w:t>
      </w:r>
      <w:r w:rsidR="00735E1C">
        <w:t xml:space="preserve">fi Yurtiçi </w:t>
      </w:r>
      <w:proofErr w:type="gramStart"/>
      <w:r w:rsidR="00735E1C">
        <w:t>Hasıla</w:t>
      </w:r>
      <w:proofErr w:type="gramEnd"/>
      <w:r w:rsidR="00735E1C">
        <w:t xml:space="preserve"> Sonuçları, </w:t>
      </w:r>
      <w:r w:rsidR="00D77FD3">
        <w:t>2017-</w:t>
      </w:r>
      <w:r w:rsidR="00530076" w:rsidRPr="00870185">
        <w:t>2018</w:t>
      </w:r>
      <w:r w:rsidR="00735E1C" w:rsidRPr="00735E1C">
        <w:rPr>
          <w:noProof/>
        </w:rPr>
        <w:drawing>
          <wp:inline distT="0" distB="0" distL="0" distR="0" wp14:anchorId="554D7AC7" wp14:editId="325222E4">
            <wp:extent cx="5497033" cy="3171483"/>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0800" cy="3179426"/>
                    </a:xfrm>
                    <a:prstGeom prst="rect">
                      <a:avLst/>
                    </a:prstGeom>
                    <a:noFill/>
                    <a:ln>
                      <a:noFill/>
                    </a:ln>
                  </pic:spPr>
                </pic:pic>
              </a:graphicData>
            </a:graphic>
          </wp:inline>
        </w:drawing>
      </w:r>
      <w:r w:rsidR="00B973FC" w:rsidRPr="00245C55">
        <w:rPr>
          <w:rFonts w:cs="Times New Roman"/>
          <w:sz w:val="14"/>
          <w:szCs w:val="14"/>
        </w:rPr>
        <w:br/>
      </w:r>
      <w:r w:rsidR="00530076" w:rsidRPr="006977BC">
        <w:rPr>
          <w:rFonts w:cs="Times New Roman"/>
          <w:sz w:val="20"/>
          <w:szCs w:val="14"/>
        </w:rPr>
        <w:t>*Bir önceki yılın aynı dönemine</w:t>
      </w:r>
      <w:r w:rsidR="00C144CC" w:rsidRPr="006977BC">
        <w:rPr>
          <w:rFonts w:cs="Times New Roman"/>
          <w:sz w:val="20"/>
          <w:szCs w:val="14"/>
        </w:rPr>
        <w:t xml:space="preserve"> göre enflasyon değişimi</w:t>
      </w:r>
    </w:p>
    <w:p w:rsidR="006977BC" w:rsidRDefault="00EE58FC" w:rsidP="006977BC">
      <w:pPr>
        <w:rPr>
          <w:szCs w:val="24"/>
        </w:rPr>
      </w:pPr>
      <w:r w:rsidRPr="005C3DCF">
        <w:rPr>
          <w:szCs w:val="24"/>
        </w:rPr>
        <w:t>Gelir yöntemi ile hesaplanan GSYH</w:t>
      </w:r>
      <w:r w:rsidR="00567194" w:rsidRPr="005C3DCF">
        <w:rPr>
          <w:szCs w:val="24"/>
        </w:rPr>
        <w:t>, ekonomideki üretici birimlerin elde ettiği maaş, ücret gelirleri, işletme karı ve devletin elde ettiği ç</w:t>
      </w:r>
      <w:r w:rsidRPr="005C3DCF">
        <w:rPr>
          <w:szCs w:val="24"/>
        </w:rPr>
        <w:t>eşitli vergi gelirlerinden oluşmaktadır. Gelir yöntemiyle hesaplanan GSYH bileşenlerinin Gayrisafi Katma Değer (GSKD) içerisindeki payları incelendiğinde</w:t>
      </w:r>
      <w:r w:rsidR="005C3DCF">
        <w:rPr>
          <w:szCs w:val="24"/>
        </w:rPr>
        <w:t>,</w:t>
      </w:r>
      <w:r w:rsidRPr="005C3DCF">
        <w:rPr>
          <w:szCs w:val="24"/>
        </w:rPr>
        <w:t xml:space="preserve"> işgücü ödemelerinin cari GSKD içerisindeki payı geçen</w:t>
      </w:r>
      <w:r w:rsidR="00353B1A">
        <w:rPr>
          <w:szCs w:val="24"/>
        </w:rPr>
        <w:t xml:space="preserve"> yılın aynı döneminde yüzde 31,1</w:t>
      </w:r>
      <w:r w:rsidRPr="005C3DCF">
        <w:rPr>
          <w:szCs w:val="24"/>
        </w:rPr>
        <w:t xml:space="preserve"> iken bu oran</w:t>
      </w:r>
      <w:r w:rsidR="00F0346B">
        <w:rPr>
          <w:szCs w:val="24"/>
        </w:rPr>
        <w:t>ın</w:t>
      </w:r>
      <w:r w:rsidRPr="005C3DCF">
        <w:rPr>
          <w:szCs w:val="24"/>
        </w:rPr>
        <w:t xml:space="preserve"> 2018 yılı</w:t>
      </w:r>
      <w:r w:rsidR="00353B1A">
        <w:rPr>
          <w:szCs w:val="24"/>
        </w:rPr>
        <w:t>nın dördüncü çeyreğinde yüzde 31,2</w:t>
      </w:r>
      <w:r w:rsidRPr="005C3DCF">
        <w:rPr>
          <w:szCs w:val="24"/>
        </w:rPr>
        <w:t xml:space="preserve"> ol</w:t>
      </w:r>
      <w:r w:rsidR="005C3DCF">
        <w:rPr>
          <w:szCs w:val="24"/>
        </w:rPr>
        <w:t>duğu görülmektedir</w:t>
      </w:r>
      <w:r w:rsidRPr="005C3DCF">
        <w:rPr>
          <w:szCs w:val="24"/>
        </w:rPr>
        <w:t>. Net işletme artığı</w:t>
      </w:r>
      <w:r w:rsidR="00353B1A">
        <w:rPr>
          <w:szCs w:val="24"/>
        </w:rPr>
        <w:t>/karma gelirin payı ise yüzde 53,9'dan yüzde 51,3</w:t>
      </w:r>
      <w:r w:rsidRPr="005C3DCF">
        <w:rPr>
          <w:szCs w:val="24"/>
        </w:rPr>
        <w:t>'e düş</w:t>
      </w:r>
      <w:r w:rsidR="001B28A5" w:rsidRPr="005C3DCF">
        <w:rPr>
          <w:szCs w:val="24"/>
        </w:rPr>
        <w:t>müş</w:t>
      </w:r>
      <w:r w:rsidRPr="005C3DCF">
        <w:rPr>
          <w:szCs w:val="24"/>
        </w:rPr>
        <w:t>tü</w:t>
      </w:r>
      <w:r w:rsidR="001B28A5" w:rsidRPr="005C3DCF">
        <w:rPr>
          <w:szCs w:val="24"/>
        </w:rPr>
        <w:t>r</w:t>
      </w:r>
      <w:r w:rsidR="00115460" w:rsidRPr="005C3DCF">
        <w:rPr>
          <w:szCs w:val="24"/>
        </w:rPr>
        <w:t xml:space="preserve"> (Tablo 2).</w:t>
      </w:r>
      <w:r w:rsidR="006977BC">
        <w:rPr>
          <w:szCs w:val="24"/>
        </w:rPr>
        <w:t xml:space="preserve"> </w:t>
      </w:r>
    </w:p>
    <w:p w:rsidR="006977BC" w:rsidRPr="00567194" w:rsidRDefault="00F92E63" w:rsidP="006977BC">
      <w:pPr>
        <w:jc w:val="left"/>
        <w:rPr>
          <w:rFonts w:cs="Times New Roman"/>
          <w:sz w:val="22"/>
        </w:rPr>
      </w:pPr>
      <w:r w:rsidRPr="006977BC">
        <w:rPr>
          <w:b/>
        </w:rPr>
        <w:t>Tablo 2 Gelir yöntemiyle GSYH bileşenlerinin Gayrisafi Katma De</w:t>
      </w:r>
      <w:r w:rsidR="00735E1C" w:rsidRPr="006977BC">
        <w:rPr>
          <w:b/>
        </w:rPr>
        <w:t xml:space="preserve">ğer içerisindeki payları, %, </w:t>
      </w:r>
      <w:r w:rsidR="000D3EEA" w:rsidRPr="006977BC">
        <w:rPr>
          <w:b/>
        </w:rPr>
        <w:t>2017-</w:t>
      </w:r>
      <w:r w:rsidRPr="006977BC">
        <w:rPr>
          <w:b/>
        </w:rPr>
        <w:t>2018</w:t>
      </w:r>
      <w:r w:rsidR="006977BC" w:rsidRPr="00735E1C">
        <w:rPr>
          <w:noProof/>
        </w:rPr>
        <w:drawing>
          <wp:inline distT="0" distB="0" distL="0" distR="0" wp14:anchorId="4DD40AC4" wp14:editId="38AE8238">
            <wp:extent cx="5585967" cy="257307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664" cy="2586298"/>
                    </a:xfrm>
                    <a:prstGeom prst="rect">
                      <a:avLst/>
                    </a:prstGeom>
                    <a:noFill/>
                    <a:ln>
                      <a:noFill/>
                    </a:ln>
                  </pic:spPr>
                </pic:pic>
              </a:graphicData>
            </a:graphic>
          </wp:inline>
        </w:drawing>
      </w:r>
    </w:p>
    <w:p w:rsidR="00EA7B58" w:rsidRDefault="00EA7B58" w:rsidP="00870185">
      <w:pPr>
        <w:pStyle w:val="rresim"/>
      </w:pPr>
    </w:p>
    <w:p w:rsidR="00CB17F4" w:rsidRPr="00245C55" w:rsidRDefault="00975097" w:rsidP="00870185">
      <w:pPr>
        <w:pStyle w:val="rresim"/>
        <w:rPr>
          <w:sz w:val="16"/>
        </w:rPr>
      </w:pPr>
      <w:r w:rsidRPr="00245C55">
        <w:t xml:space="preserve">Şekil </w:t>
      </w:r>
      <w:r w:rsidR="00735E1C">
        <w:t>1: 2017</w:t>
      </w:r>
      <w:r w:rsidRPr="00245C55">
        <w:t>-2018</w:t>
      </w:r>
      <w:r w:rsidR="00846F82" w:rsidRPr="00245C55">
        <w:t xml:space="preserve"> zaman aralığında GSYH </w:t>
      </w:r>
      <w:r w:rsidR="00262142" w:rsidRPr="00245C55">
        <w:t>değişim</w:t>
      </w:r>
      <w:r w:rsidR="00846F82" w:rsidRPr="00245C55">
        <w:t>, milyar TL</w:t>
      </w:r>
      <w:r w:rsidR="000701FD" w:rsidRPr="00C35D32">
        <w:tab/>
      </w:r>
      <w:r w:rsidR="000701FD" w:rsidRPr="00245C55">
        <w:rPr>
          <w:sz w:val="14"/>
        </w:rPr>
        <w:tab/>
      </w:r>
      <w:r w:rsidR="00C144CC" w:rsidRPr="00245C55">
        <w:rPr>
          <w:sz w:val="16"/>
        </w:rPr>
        <w:tab/>
      </w:r>
    </w:p>
    <w:p w:rsidR="00CB17F4" w:rsidRPr="00245C55" w:rsidRDefault="008B63DE" w:rsidP="00EA7B58">
      <w:pPr>
        <w:rPr>
          <w:rFonts w:cs="Times New Roman"/>
          <w:b/>
          <w:sz w:val="16"/>
          <w:szCs w:val="14"/>
        </w:rPr>
      </w:pPr>
      <w:r>
        <w:rPr>
          <w:rFonts w:cs="Times New Roman"/>
          <w:b/>
          <w:noProof/>
          <w:sz w:val="16"/>
          <w:szCs w:val="14"/>
        </w:rPr>
        <w:drawing>
          <wp:inline distT="0" distB="0" distL="0" distR="0" wp14:anchorId="27BD1C8E" wp14:editId="2B9D6DCD">
            <wp:extent cx="5662112" cy="2849526"/>
            <wp:effectExtent l="0" t="0" r="0" b="825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2112" cy="2849526"/>
                    </a:xfrm>
                    <a:prstGeom prst="rect">
                      <a:avLst/>
                    </a:prstGeom>
                    <a:noFill/>
                  </pic:spPr>
                </pic:pic>
              </a:graphicData>
            </a:graphic>
          </wp:inline>
        </w:drawing>
      </w:r>
    </w:p>
    <w:p w:rsidR="006071B6" w:rsidRPr="00245C55" w:rsidRDefault="006071B6" w:rsidP="00AF5EA7">
      <w:pPr>
        <w:rPr>
          <w:rFonts w:cs="Times New Roman"/>
          <w:b/>
          <w:sz w:val="18"/>
          <w:szCs w:val="14"/>
        </w:rPr>
      </w:pPr>
    </w:p>
    <w:p w:rsidR="00262142" w:rsidRPr="00245C55" w:rsidRDefault="00262142" w:rsidP="00870185">
      <w:pPr>
        <w:pStyle w:val="rresim"/>
        <w:rPr>
          <w:sz w:val="18"/>
        </w:rPr>
      </w:pPr>
      <w:r w:rsidRPr="00245C55">
        <w:t xml:space="preserve">Şekil 2: </w:t>
      </w:r>
      <w:r w:rsidR="00245C55" w:rsidRPr="00245C55">
        <w:t>GSYH, harcama yöntemiyle zincirlenmiş</w:t>
      </w:r>
      <w:r w:rsidR="00735E1C">
        <w:t xml:space="preserve"> endeks ve değişim oranları, IV</w:t>
      </w:r>
      <w:r w:rsidR="00245C55" w:rsidRPr="00245C55">
        <w:t>.</w:t>
      </w:r>
      <w:r w:rsidR="00735E1C">
        <w:t xml:space="preserve"> </w:t>
      </w:r>
      <w:r w:rsidR="00245C55" w:rsidRPr="00245C55">
        <w:t xml:space="preserve">Çeyrek: </w:t>
      </w:r>
      <w:r w:rsidR="00735E1C">
        <w:t>Ekim</w:t>
      </w:r>
      <w:r w:rsidR="00735E1C" w:rsidRPr="00870185">
        <w:t>-</w:t>
      </w:r>
      <w:r w:rsidR="00735E1C">
        <w:t>Aralık</w:t>
      </w:r>
      <w:r w:rsidR="00245C55" w:rsidRPr="00245C55">
        <w:t>, 2018</w:t>
      </w:r>
    </w:p>
    <w:p w:rsidR="00262142" w:rsidRPr="00245C55" w:rsidRDefault="00735E1C" w:rsidP="007D2C97">
      <w:pPr>
        <w:jc w:val="left"/>
        <w:rPr>
          <w:rFonts w:cs="Times New Roman"/>
          <w:sz w:val="14"/>
          <w:szCs w:val="14"/>
        </w:rPr>
      </w:pPr>
      <w:r>
        <w:rPr>
          <w:rFonts w:cs="Times New Roman"/>
          <w:noProof/>
          <w:sz w:val="14"/>
          <w:szCs w:val="14"/>
        </w:rPr>
        <w:drawing>
          <wp:inline distT="0" distB="0" distL="0" distR="0" wp14:anchorId="638ADDD3" wp14:editId="0DFF82E5">
            <wp:extent cx="5517515" cy="310896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7515" cy="3108960"/>
                    </a:xfrm>
                    <a:prstGeom prst="rect">
                      <a:avLst/>
                    </a:prstGeom>
                    <a:noFill/>
                  </pic:spPr>
                </pic:pic>
              </a:graphicData>
            </a:graphic>
          </wp:inline>
        </w:drawing>
      </w:r>
    </w:p>
    <w:p w:rsidR="00262142" w:rsidRPr="00245C55" w:rsidRDefault="00262142" w:rsidP="00B0459A">
      <w:pPr>
        <w:jc w:val="center"/>
        <w:rPr>
          <w:rFonts w:cs="Times New Roman"/>
          <w:sz w:val="14"/>
          <w:szCs w:val="14"/>
        </w:rPr>
      </w:pPr>
    </w:p>
    <w:p w:rsidR="00262142" w:rsidRPr="00245C55" w:rsidRDefault="00262142" w:rsidP="00B0459A">
      <w:pPr>
        <w:jc w:val="center"/>
        <w:rPr>
          <w:rFonts w:cs="Times New Roman"/>
          <w:sz w:val="14"/>
          <w:szCs w:val="14"/>
        </w:rPr>
        <w:sectPr w:rsidR="00262142" w:rsidRPr="00245C55" w:rsidSect="00432DF5">
          <w:footerReference w:type="default" r:id="rId13"/>
          <w:pgSz w:w="12240" w:h="15840"/>
          <w:pgMar w:top="1417" w:right="1417" w:bottom="1417" w:left="1417" w:header="708" w:footer="708" w:gutter="0"/>
          <w:cols w:space="708"/>
          <w:docGrid w:linePitch="360"/>
        </w:sectPr>
      </w:pPr>
    </w:p>
    <w:p w:rsidR="00262142" w:rsidRPr="00A513CE" w:rsidRDefault="00262142" w:rsidP="00B0459A">
      <w:pPr>
        <w:jc w:val="center"/>
        <w:rPr>
          <w:rFonts w:cs="Times New Roman"/>
          <w:sz w:val="14"/>
          <w:szCs w:val="14"/>
        </w:rPr>
      </w:pPr>
    </w:p>
    <w:p w:rsidR="00567194" w:rsidRPr="00A513CE" w:rsidRDefault="00262142" w:rsidP="00262142">
      <w:pPr>
        <w:rPr>
          <w:rFonts w:cs="Times New Roman"/>
          <w:b/>
          <w:sz w:val="16"/>
          <w:szCs w:val="14"/>
        </w:rPr>
      </w:pPr>
      <w:r w:rsidRPr="00A513CE">
        <w:rPr>
          <w:rFonts w:cs="Times New Roman"/>
          <w:b/>
        </w:rPr>
        <w:t xml:space="preserve">Tablo </w:t>
      </w:r>
      <w:r w:rsidR="00277E72" w:rsidRPr="00A513CE">
        <w:rPr>
          <w:rFonts w:cs="Times New Roman"/>
          <w:b/>
        </w:rPr>
        <w:t>3</w:t>
      </w:r>
      <w:r w:rsidRPr="00A513CE">
        <w:rPr>
          <w:rFonts w:cs="Times New Roman"/>
          <w:b/>
        </w:rPr>
        <w:t xml:space="preserve">: </w:t>
      </w:r>
      <w:r w:rsidR="00567194" w:rsidRPr="00A513CE">
        <w:rPr>
          <w:rFonts w:cs="Times New Roman"/>
          <w:b/>
        </w:rPr>
        <w:t>GSYH, , iktisadi faaliyet kollarına göre A10 düzeyinde zincirlenmiş hacim,</w:t>
      </w:r>
      <w:r w:rsidR="00735E1C" w:rsidRPr="00A513CE">
        <w:rPr>
          <w:rFonts w:cs="Times New Roman"/>
          <w:b/>
        </w:rPr>
        <w:t xml:space="preserve"> endeks ve değişim oranları, IV</w:t>
      </w:r>
      <w:r w:rsidR="00567194" w:rsidRPr="00A513CE">
        <w:rPr>
          <w:rFonts w:cs="Times New Roman"/>
          <w:b/>
        </w:rPr>
        <w:t xml:space="preserve">. Çeyrek: </w:t>
      </w:r>
      <w:r w:rsidR="00735E1C" w:rsidRPr="00A513CE">
        <w:rPr>
          <w:rFonts w:cs="Times New Roman"/>
          <w:b/>
        </w:rPr>
        <w:t>Ekim-Aralık</w:t>
      </w:r>
      <w:r w:rsidR="00567194" w:rsidRPr="00A513CE">
        <w:rPr>
          <w:rFonts w:cs="Times New Roman"/>
          <w:b/>
        </w:rPr>
        <w:t>, 2018</w:t>
      </w:r>
    </w:p>
    <w:p w:rsidR="00735E1C" w:rsidRDefault="008B63DE" w:rsidP="00262142">
      <w:pPr>
        <w:rPr>
          <w:rFonts w:cs="Times New Roman"/>
          <w:b/>
          <w:sz w:val="20"/>
          <w:szCs w:val="14"/>
        </w:rPr>
      </w:pPr>
      <w:r w:rsidRPr="008B63DE">
        <w:rPr>
          <w:rFonts w:cs="Times New Roman"/>
          <w:b/>
          <w:sz w:val="20"/>
          <w:szCs w:val="14"/>
        </w:rPr>
        <w:t xml:space="preserve"> </w:t>
      </w:r>
      <w:r w:rsidRPr="008B63DE">
        <w:rPr>
          <w:noProof/>
        </w:rPr>
        <w:drawing>
          <wp:inline distT="0" distB="0" distL="0" distR="0" wp14:anchorId="40DBB606" wp14:editId="483C3483">
            <wp:extent cx="8258810" cy="3746636"/>
            <wp:effectExtent l="0" t="0" r="8890" b="635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8810" cy="3746636"/>
                    </a:xfrm>
                    <a:prstGeom prst="rect">
                      <a:avLst/>
                    </a:prstGeom>
                    <a:noFill/>
                    <a:ln>
                      <a:noFill/>
                    </a:ln>
                  </pic:spPr>
                </pic:pic>
              </a:graphicData>
            </a:graphic>
          </wp:inline>
        </w:drawing>
      </w:r>
      <w:r w:rsidR="00735E1C" w:rsidRPr="00567194">
        <w:rPr>
          <w:rFonts w:cs="Times New Roman"/>
          <w:b/>
          <w:sz w:val="20"/>
          <w:szCs w:val="14"/>
        </w:rPr>
        <w:t xml:space="preserve"> </w:t>
      </w:r>
    </w:p>
    <w:p w:rsidR="00455DBF" w:rsidRDefault="00455DBF" w:rsidP="00455DBF">
      <w:pPr>
        <w:rPr>
          <w:szCs w:val="24"/>
        </w:rPr>
      </w:pPr>
      <w:r w:rsidRPr="00030D4B">
        <w:rPr>
          <w:szCs w:val="24"/>
        </w:rPr>
        <w:t>İl bazında GSYH değerleri incelendiğinde 2017</w:t>
      </w:r>
      <w:r w:rsidR="00710FA9">
        <w:rPr>
          <w:szCs w:val="24"/>
        </w:rPr>
        <w:t xml:space="preserve"> yılı verilerine göre 970 milyar</w:t>
      </w:r>
      <w:r w:rsidRPr="00030D4B">
        <w:rPr>
          <w:szCs w:val="24"/>
        </w:rPr>
        <w:t xml:space="preserve"> TL ile İstanbul</w:t>
      </w:r>
      <w:r>
        <w:rPr>
          <w:szCs w:val="24"/>
        </w:rPr>
        <w:t xml:space="preserve"> ilk sırada yer alırken</w:t>
      </w:r>
      <w:r w:rsidRPr="00030D4B">
        <w:rPr>
          <w:szCs w:val="24"/>
        </w:rPr>
        <w:t>,</w:t>
      </w:r>
      <w:r>
        <w:rPr>
          <w:szCs w:val="24"/>
        </w:rPr>
        <w:t xml:space="preserve"> İstanbul’u</w:t>
      </w:r>
      <w:r w:rsidR="00710FA9">
        <w:rPr>
          <w:szCs w:val="24"/>
        </w:rPr>
        <w:t xml:space="preserve"> 281 milyar</w:t>
      </w:r>
      <w:r w:rsidRPr="00030D4B">
        <w:rPr>
          <w:szCs w:val="24"/>
        </w:rPr>
        <w:t xml:space="preserve"> TL il</w:t>
      </w:r>
      <w:r w:rsidR="00710FA9">
        <w:rPr>
          <w:szCs w:val="24"/>
        </w:rPr>
        <w:t>e Ankara ve 191 milyar</w:t>
      </w:r>
      <w:r w:rsidRPr="00030D4B">
        <w:rPr>
          <w:szCs w:val="24"/>
        </w:rPr>
        <w:t xml:space="preserve"> TL ile İzmir </w:t>
      </w:r>
      <w:r>
        <w:rPr>
          <w:szCs w:val="24"/>
        </w:rPr>
        <w:t>takip etmektedir</w:t>
      </w:r>
      <w:r w:rsidRPr="00030D4B">
        <w:rPr>
          <w:szCs w:val="24"/>
        </w:rPr>
        <w:t>. Bu illeri</w:t>
      </w:r>
      <w:r>
        <w:rPr>
          <w:szCs w:val="24"/>
        </w:rPr>
        <w:t xml:space="preserve">n </w:t>
      </w:r>
      <w:r w:rsidR="008B63DE">
        <w:rPr>
          <w:szCs w:val="24"/>
        </w:rPr>
        <w:t xml:space="preserve">ardından </w:t>
      </w:r>
      <w:r w:rsidR="008B63DE" w:rsidRPr="00030D4B">
        <w:rPr>
          <w:szCs w:val="24"/>
        </w:rPr>
        <w:t>sırasıyla</w:t>
      </w:r>
      <w:r w:rsidRPr="00030D4B">
        <w:rPr>
          <w:szCs w:val="24"/>
        </w:rPr>
        <w:t xml:space="preserve"> Bursa, Kocaeli ve Antalya </w:t>
      </w:r>
      <w:r>
        <w:rPr>
          <w:szCs w:val="24"/>
        </w:rPr>
        <w:t>gel</w:t>
      </w:r>
      <w:r w:rsidRPr="00030D4B">
        <w:rPr>
          <w:szCs w:val="24"/>
        </w:rPr>
        <w:t>mektedir.</w:t>
      </w:r>
      <w:r>
        <w:rPr>
          <w:szCs w:val="24"/>
        </w:rPr>
        <w:t xml:space="preserve"> Öte yandan en düşük GSYH değerine sahip iller ise sırasıyla </w:t>
      </w:r>
      <w:r w:rsidR="00D40A8B">
        <w:rPr>
          <w:szCs w:val="24"/>
        </w:rPr>
        <w:t>Bayburt, Ardahan ve Tunceli’dir</w:t>
      </w:r>
      <w:r>
        <w:rPr>
          <w:szCs w:val="24"/>
        </w:rPr>
        <w:t xml:space="preserve">. Bu illerin sahip olduğu GSYH değerleri ise yine sırasıyla </w:t>
      </w:r>
      <w:r w:rsidR="00D40A8B">
        <w:rPr>
          <w:szCs w:val="24"/>
        </w:rPr>
        <w:t>1,8</w:t>
      </w:r>
      <w:r w:rsidR="00710FA9">
        <w:rPr>
          <w:szCs w:val="24"/>
        </w:rPr>
        <w:t xml:space="preserve"> milyar</w:t>
      </w:r>
      <w:r>
        <w:rPr>
          <w:szCs w:val="24"/>
        </w:rPr>
        <w:t xml:space="preserve"> TL</w:t>
      </w:r>
      <w:r w:rsidR="00710FA9">
        <w:rPr>
          <w:szCs w:val="24"/>
        </w:rPr>
        <w:t>, 2,2 milyar</w:t>
      </w:r>
      <w:r w:rsidR="00D40A8B">
        <w:rPr>
          <w:szCs w:val="24"/>
        </w:rPr>
        <w:t xml:space="preserve"> TL ve 2,7</w:t>
      </w:r>
      <w:r w:rsidR="00710FA9">
        <w:rPr>
          <w:szCs w:val="24"/>
        </w:rPr>
        <w:t xml:space="preserve"> milyar</w:t>
      </w:r>
      <w:r w:rsidR="00D40A8B">
        <w:rPr>
          <w:szCs w:val="24"/>
        </w:rPr>
        <w:t xml:space="preserve"> TL</w:t>
      </w:r>
      <w:r>
        <w:rPr>
          <w:szCs w:val="24"/>
        </w:rPr>
        <w:t xml:space="preserve">’dir. İllerin </w:t>
      </w:r>
      <w:r w:rsidR="0026381F">
        <w:rPr>
          <w:szCs w:val="24"/>
        </w:rPr>
        <w:t xml:space="preserve">2017 yılı </w:t>
      </w:r>
      <w:r>
        <w:rPr>
          <w:szCs w:val="24"/>
        </w:rPr>
        <w:t>GSYH değerlerinin harita üzerinde gösterimi ise Ek-1’de verilmiştir.</w:t>
      </w:r>
    </w:p>
    <w:p w:rsidR="001D3A48" w:rsidRDefault="001D3A48" w:rsidP="00262142">
      <w:pPr>
        <w:rPr>
          <w:szCs w:val="24"/>
        </w:rPr>
      </w:pPr>
    </w:p>
    <w:p w:rsidR="00455DBF" w:rsidRDefault="00455DBF" w:rsidP="00262142">
      <w:pPr>
        <w:rPr>
          <w:szCs w:val="24"/>
        </w:rPr>
        <w:sectPr w:rsidR="00455DBF" w:rsidSect="00262142">
          <w:pgSz w:w="15840" w:h="12240" w:orient="landscape"/>
          <w:pgMar w:top="709" w:right="1417" w:bottom="1417" w:left="1417" w:header="708" w:footer="708" w:gutter="0"/>
          <w:cols w:space="708"/>
          <w:docGrid w:linePitch="360"/>
        </w:sectPr>
      </w:pPr>
    </w:p>
    <w:p w:rsidR="00C7367E" w:rsidRDefault="006858CA" w:rsidP="00262142">
      <w:pPr>
        <w:rPr>
          <w:rFonts w:cs="Times New Roman"/>
          <w:b/>
          <w:sz w:val="28"/>
        </w:rPr>
      </w:pPr>
      <w:r>
        <w:rPr>
          <w:szCs w:val="24"/>
        </w:rPr>
        <w:t>Üretim yöntemi ile hesaplanan GYSH değerlerinde t</w:t>
      </w:r>
      <w:r w:rsidR="000D3EEA">
        <w:rPr>
          <w:szCs w:val="24"/>
        </w:rPr>
        <w:t>arım, ormancılık ve balıkçılık, hizmetler ve sanayi sektörlerinin GSYH içindeki payları incelendiğinde hizmetler</w:t>
      </w:r>
      <w:r w:rsidR="00D77FD3">
        <w:rPr>
          <w:szCs w:val="24"/>
        </w:rPr>
        <w:t xml:space="preserve"> yıllık</w:t>
      </w:r>
      <w:r w:rsidR="000D3EEA">
        <w:rPr>
          <w:szCs w:val="24"/>
        </w:rPr>
        <w:t xml:space="preserve"> ortalama</w:t>
      </w:r>
      <w:r w:rsidR="000A4377">
        <w:rPr>
          <w:szCs w:val="24"/>
        </w:rPr>
        <w:t xml:space="preserve"> yüzde 60,7</w:t>
      </w:r>
      <w:r w:rsidR="000D3EEA">
        <w:rPr>
          <w:szCs w:val="24"/>
        </w:rPr>
        <w:t xml:space="preserve"> ile en yüksek paya sahiptir. Sanayi sektörü </w:t>
      </w:r>
      <w:r w:rsidR="00D77FD3">
        <w:rPr>
          <w:szCs w:val="24"/>
        </w:rPr>
        <w:t xml:space="preserve">yıllık </w:t>
      </w:r>
      <w:r w:rsidR="000A4377">
        <w:rPr>
          <w:szCs w:val="24"/>
        </w:rPr>
        <w:t>ortalama yüzde 32,9</w:t>
      </w:r>
      <w:r w:rsidR="000D3EEA">
        <w:rPr>
          <w:szCs w:val="24"/>
        </w:rPr>
        <w:t xml:space="preserve">, tarım, ormancılık ve balıkçılık </w:t>
      </w:r>
      <w:r w:rsidR="00D77FD3">
        <w:rPr>
          <w:szCs w:val="24"/>
        </w:rPr>
        <w:t xml:space="preserve">sektörü ise yıllık </w:t>
      </w:r>
      <w:r w:rsidR="000A4377">
        <w:rPr>
          <w:szCs w:val="24"/>
        </w:rPr>
        <w:t>ortalama yüzde 6,4</w:t>
      </w:r>
      <w:r w:rsidR="00D77FD3">
        <w:rPr>
          <w:szCs w:val="24"/>
        </w:rPr>
        <w:t>’lik bir</w:t>
      </w:r>
      <w:r w:rsidR="000D3EEA">
        <w:rPr>
          <w:szCs w:val="24"/>
        </w:rPr>
        <w:t xml:space="preserve"> paya sahiptir</w:t>
      </w:r>
      <w:r w:rsidR="008A71D6">
        <w:rPr>
          <w:szCs w:val="24"/>
        </w:rPr>
        <w:t xml:space="preserve"> (Tablo 4)</w:t>
      </w:r>
      <w:r w:rsidR="000D3EEA">
        <w:rPr>
          <w:szCs w:val="24"/>
        </w:rPr>
        <w:t>. Tarım, ormancılık ve balıkçılık sektörü</w:t>
      </w:r>
      <w:r w:rsidR="00D77FD3">
        <w:rPr>
          <w:szCs w:val="24"/>
        </w:rPr>
        <w:t xml:space="preserve"> 2018 yılı içerisinde</w:t>
      </w:r>
      <w:r w:rsidR="000D3EEA">
        <w:rPr>
          <w:szCs w:val="24"/>
        </w:rPr>
        <w:t xml:space="preserve"> ilk </w:t>
      </w:r>
      <w:proofErr w:type="gramStart"/>
      <w:r w:rsidR="000D3EEA">
        <w:rPr>
          <w:szCs w:val="24"/>
        </w:rPr>
        <w:t>üç çeyrekte</w:t>
      </w:r>
      <w:proofErr w:type="gramEnd"/>
      <w:r w:rsidR="000D3EEA">
        <w:rPr>
          <w:szCs w:val="24"/>
        </w:rPr>
        <w:t xml:space="preserve"> </w:t>
      </w:r>
      <w:r w:rsidR="00D77FD3">
        <w:rPr>
          <w:szCs w:val="24"/>
        </w:rPr>
        <w:t>GSYH’den aldığı payı artırırken</w:t>
      </w:r>
      <w:r w:rsidR="000D3EEA">
        <w:rPr>
          <w:szCs w:val="24"/>
        </w:rPr>
        <w:t xml:space="preserve"> dördüncü çeyrekte</w:t>
      </w:r>
      <w:r w:rsidR="00D77FD3">
        <w:rPr>
          <w:szCs w:val="24"/>
        </w:rPr>
        <w:t xml:space="preserve"> bu payı düşürerek</w:t>
      </w:r>
      <w:r w:rsidR="000A4377">
        <w:rPr>
          <w:szCs w:val="24"/>
        </w:rPr>
        <w:t xml:space="preserve"> yüzde 6,4</w:t>
      </w:r>
      <w:r w:rsidR="00D77FD3">
        <w:rPr>
          <w:szCs w:val="24"/>
        </w:rPr>
        <w:t>’e ulaşmış ve</w:t>
      </w:r>
      <w:r w:rsidR="000D3EEA">
        <w:rPr>
          <w:szCs w:val="24"/>
        </w:rPr>
        <w:t xml:space="preserve"> toplam hacim içindeki payı azalmıştır</w:t>
      </w:r>
      <w:r w:rsidR="00D77FD3">
        <w:rPr>
          <w:szCs w:val="24"/>
        </w:rPr>
        <w:t xml:space="preserve">. Öte yandan hizmetler </w:t>
      </w:r>
      <w:r w:rsidR="000A4377">
        <w:rPr>
          <w:szCs w:val="24"/>
        </w:rPr>
        <w:t>ve sanayi sektörleri</w:t>
      </w:r>
      <w:r w:rsidR="00D77FD3">
        <w:rPr>
          <w:szCs w:val="24"/>
        </w:rPr>
        <w:t xml:space="preserve"> yıl içinde çeyreklik dönmelerin tamamında GSYH’den benzer paylar </w:t>
      </w:r>
      <w:r w:rsidR="000A4377">
        <w:rPr>
          <w:szCs w:val="24"/>
        </w:rPr>
        <w:t>almıştır.</w:t>
      </w:r>
    </w:p>
    <w:p w:rsidR="00294167" w:rsidRPr="00A513CE" w:rsidRDefault="00C62C37" w:rsidP="00262142">
      <w:pPr>
        <w:rPr>
          <w:rFonts w:cs="Times New Roman"/>
          <w:b/>
          <w:sz w:val="16"/>
          <w:szCs w:val="14"/>
        </w:rPr>
      </w:pPr>
      <w:r w:rsidRPr="00A513CE">
        <w:rPr>
          <w:rFonts w:cs="Times New Roman"/>
          <w:b/>
        </w:rPr>
        <w:t xml:space="preserve">Tablo 4: GSYH içindeki sektörlerin </w:t>
      </w:r>
      <w:r w:rsidRPr="00A513CE">
        <w:rPr>
          <w:rFonts w:cs="Times New Roman"/>
          <w:b/>
          <w:color w:val="000000" w:themeColor="text1"/>
        </w:rPr>
        <w:t>payı</w:t>
      </w:r>
      <w:r w:rsidR="000D3EEA" w:rsidRPr="00A513CE">
        <w:rPr>
          <w:rFonts w:cs="Times New Roman"/>
          <w:b/>
          <w:color w:val="000000" w:themeColor="text1"/>
        </w:rPr>
        <w:t>, 2018</w:t>
      </w:r>
    </w:p>
    <w:p w:rsidR="00294167" w:rsidRDefault="00D40A8B" w:rsidP="00262142">
      <w:pPr>
        <w:rPr>
          <w:szCs w:val="24"/>
        </w:rPr>
      </w:pPr>
      <w:r w:rsidRPr="00D40A8B">
        <w:rPr>
          <w:szCs w:val="24"/>
        </w:rPr>
        <w:t xml:space="preserve"> </w:t>
      </w:r>
      <w:r w:rsidR="00C878DD" w:rsidRPr="00C878DD">
        <w:rPr>
          <w:noProof/>
        </w:rPr>
        <w:drawing>
          <wp:inline distT="0" distB="0" distL="0" distR="0" wp14:anchorId="101577A3" wp14:editId="321C9E85">
            <wp:extent cx="5473065" cy="1214755"/>
            <wp:effectExtent l="0" t="0" r="0" b="444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3065" cy="1214755"/>
                    </a:xfrm>
                    <a:prstGeom prst="rect">
                      <a:avLst/>
                    </a:prstGeom>
                    <a:noFill/>
                    <a:ln>
                      <a:noFill/>
                    </a:ln>
                  </pic:spPr>
                </pic:pic>
              </a:graphicData>
            </a:graphic>
          </wp:inline>
        </w:drawing>
      </w:r>
    </w:p>
    <w:p w:rsidR="00C7367E" w:rsidRDefault="006558B0" w:rsidP="00C62C37">
      <w:pPr>
        <w:rPr>
          <w:szCs w:val="24"/>
        </w:rPr>
      </w:pPr>
      <w:r>
        <w:rPr>
          <w:szCs w:val="24"/>
        </w:rPr>
        <w:t xml:space="preserve">Diğer bir yandan ülkelerin büyüme oranları uluslararası düzeyde incelendiğinde, Türkiye, </w:t>
      </w:r>
      <w:r w:rsidR="001D3A48">
        <w:rPr>
          <w:szCs w:val="24"/>
        </w:rPr>
        <w:t xml:space="preserve">2017 yılında </w:t>
      </w:r>
      <w:r>
        <w:rPr>
          <w:szCs w:val="24"/>
        </w:rPr>
        <w:t xml:space="preserve">yüzde 7,4’lük bir </w:t>
      </w:r>
      <w:r w:rsidR="00030D4B" w:rsidRPr="00030D4B">
        <w:rPr>
          <w:szCs w:val="24"/>
        </w:rPr>
        <w:t>GSYH büyümesi</w:t>
      </w:r>
      <w:r>
        <w:rPr>
          <w:szCs w:val="24"/>
        </w:rPr>
        <w:t xml:space="preserve"> </w:t>
      </w:r>
      <w:r w:rsidR="00D04558">
        <w:rPr>
          <w:szCs w:val="24"/>
        </w:rPr>
        <w:t xml:space="preserve">ile </w:t>
      </w:r>
      <w:r>
        <w:rPr>
          <w:szCs w:val="24"/>
        </w:rPr>
        <w:t xml:space="preserve">dünya genelinde </w:t>
      </w:r>
      <w:r w:rsidR="00D04558">
        <w:rPr>
          <w:szCs w:val="24"/>
        </w:rPr>
        <w:t xml:space="preserve">en </w:t>
      </w:r>
      <w:r>
        <w:rPr>
          <w:szCs w:val="24"/>
        </w:rPr>
        <w:t>fazla</w:t>
      </w:r>
      <w:r w:rsidR="00D04558">
        <w:rPr>
          <w:szCs w:val="24"/>
        </w:rPr>
        <w:t xml:space="preserve"> büyüme</w:t>
      </w:r>
      <w:r w:rsidR="001D3A48">
        <w:rPr>
          <w:szCs w:val="24"/>
        </w:rPr>
        <w:t xml:space="preserve"> gösteren 12</w:t>
      </w:r>
      <w:r w:rsidR="00C813D3">
        <w:rPr>
          <w:szCs w:val="24"/>
        </w:rPr>
        <w:t>’nci</w:t>
      </w:r>
      <w:r w:rsidR="001D3A48">
        <w:rPr>
          <w:szCs w:val="24"/>
        </w:rPr>
        <w:t xml:space="preserve"> ülke olmuştur</w:t>
      </w:r>
      <w:r>
        <w:rPr>
          <w:szCs w:val="24"/>
        </w:rPr>
        <w:t xml:space="preserve"> (Tablo 5)</w:t>
      </w:r>
      <w:r w:rsidR="001D3A48">
        <w:rPr>
          <w:szCs w:val="24"/>
        </w:rPr>
        <w:t xml:space="preserve">. </w:t>
      </w:r>
      <w:r w:rsidR="00C813D3">
        <w:rPr>
          <w:szCs w:val="24"/>
        </w:rPr>
        <w:t>Türkiye, sahip olduğu 851,5 milyar dolar GSYH ile dünyada 17’nci büyük ekonomi olmakla birlikte dünya geneli içinde sergilediği görece yüksek büyüme hızı ile de dünya genelindeki büyük ekonomiler sıralamasındaki yerini üst sıralara taşıması beklenebilmektedir.</w:t>
      </w:r>
    </w:p>
    <w:p w:rsidR="00C62C37" w:rsidRPr="00A513CE" w:rsidRDefault="00C62C37" w:rsidP="00A513CE">
      <w:pPr>
        <w:rPr>
          <w:rFonts w:cs="Times New Roman"/>
          <w:b/>
        </w:rPr>
      </w:pPr>
      <w:r w:rsidRPr="00A513CE">
        <w:rPr>
          <w:rFonts w:cs="Times New Roman"/>
          <w:b/>
        </w:rPr>
        <w:t xml:space="preserve">Tablo 5: </w:t>
      </w:r>
      <w:r w:rsidR="002F35DF" w:rsidRPr="00A513CE">
        <w:rPr>
          <w:rFonts w:cs="Times New Roman"/>
          <w:b/>
        </w:rPr>
        <w:t xml:space="preserve">Ülkelerin </w:t>
      </w:r>
      <w:r w:rsidRPr="00A513CE">
        <w:rPr>
          <w:rFonts w:cs="Times New Roman"/>
          <w:b/>
        </w:rPr>
        <w:t>büyüme</w:t>
      </w:r>
      <w:r w:rsidR="002F35DF" w:rsidRPr="00A513CE">
        <w:rPr>
          <w:rFonts w:cs="Times New Roman"/>
          <w:b/>
        </w:rPr>
        <w:t xml:space="preserve"> oranları ve dünyadaki</w:t>
      </w:r>
      <w:r w:rsidRPr="00A513CE">
        <w:rPr>
          <w:rFonts w:cs="Times New Roman"/>
          <w:b/>
        </w:rPr>
        <w:t xml:space="preserve"> sıralama</w:t>
      </w:r>
      <w:r w:rsidR="002F35DF" w:rsidRPr="00A513CE">
        <w:rPr>
          <w:rFonts w:cs="Times New Roman"/>
          <w:b/>
        </w:rPr>
        <w:t>lar</w:t>
      </w:r>
      <w:r w:rsidRPr="00A513CE">
        <w:rPr>
          <w:rFonts w:cs="Times New Roman"/>
          <w:b/>
        </w:rPr>
        <w:t>ı</w:t>
      </w:r>
      <w:r w:rsidR="002F35DF" w:rsidRPr="00A513CE">
        <w:rPr>
          <w:rFonts w:cs="Times New Roman"/>
          <w:b/>
        </w:rPr>
        <w:t xml:space="preserve">, </w:t>
      </w:r>
      <w:r w:rsidR="005B586F" w:rsidRPr="00A513CE">
        <w:rPr>
          <w:rFonts w:cs="Times New Roman"/>
          <w:b/>
        </w:rPr>
        <w:t xml:space="preserve">ilk 15 ülke, </w:t>
      </w:r>
      <w:r w:rsidR="002F35DF" w:rsidRPr="00A513CE">
        <w:rPr>
          <w:rFonts w:cs="Times New Roman"/>
          <w:b/>
        </w:rPr>
        <w:t>2017</w:t>
      </w:r>
    </w:p>
    <w:p w:rsidR="006977BC" w:rsidRDefault="00D304BD" w:rsidP="00262142">
      <w:pPr>
        <w:rPr>
          <w:szCs w:val="24"/>
        </w:rPr>
      </w:pPr>
      <w:r w:rsidRPr="00D304BD">
        <w:rPr>
          <w:noProof/>
        </w:rPr>
        <w:drawing>
          <wp:inline distT="0" distB="0" distL="0" distR="0" wp14:anchorId="26051051" wp14:editId="2872E128">
            <wp:extent cx="2628033" cy="3125973"/>
            <wp:effectExtent l="0" t="0" r="127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4825" cy="3217315"/>
                    </a:xfrm>
                    <a:prstGeom prst="rect">
                      <a:avLst/>
                    </a:prstGeom>
                    <a:noFill/>
                    <a:ln>
                      <a:noFill/>
                    </a:ln>
                  </pic:spPr>
                </pic:pic>
              </a:graphicData>
            </a:graphic>
          </wp:inline>
        </w:drawing>
      </w:r>
    </w:p>
    <w:p w:rsidR="00694A8E" w:rsidRDefault="006C3067" w:rsidP="00262142">
      <w:pPr>
        <w:rPr>
          <w:szCs w:val="24"/>
        </w:rPr>
      </w:pPr>
      <w:r>
        <w:rPr>
          <w:szCs w:val="24"/>
        </w:rPr>
        <w:t>Kaynak: Dünya Bankası</w:t>
      </w:r>
    </w:p>
    <w:p w:rsidR="00A02167" w:rsidRDefault="00A02167" w:rsidP="00262142">
      <w:pPr>
        <w:rPr>
          <w:szCs w:val="24"/>
        </w:rPr>
      </w:pPr>
      <w:r>
        <w:rPr>
          <w:szCs w:val="24"/>
        </w:rPr>
        <w:t xml:space="preserve">Dünya Bankası’nın tanımladığı gelir gruplarına göre belirlenen grupların büyüme oranları incelendiğinde </w:t>
      </w:r>
      <w:r w:rsidR="001D3A48">
        <w:rPr>
          <w:szCs w:val="24"/>
        </w:rPr>
        <w:t xml:space="preserve">2017 yılında </w:t>
      </w:r>
      <w:r w:rsidR="00392440">
        <w:rPr>
          <w:szCs w:val="24"/>
        </w:rPr>
        <w:t>düşük gelirli ülke grubu</w:t>
      </w:r>
      <w:r>
        <w:rPr>
          <w:szCs w:val="24"/>
        </w:rPr>
        <w:t>nun yıllık</w:t>
      </w:r>
      <w:r w:rsidR="00D04558">
        <w:rPr>
          <w:szCs w:val="24"/>
        </w:rPr>
        <w:t xml:space="preserve"> ortalama</w:t>
      </w:r>
      <w:r w:rsidR="001D3A48">
        <w:rPr>
          <w:szCs w:val="24"/>
        </w:rPr>
        <w:t xml:space="preserve"> </w:t>
      </w:r>
      <w:r w:rsidR="00392440">
        <w:rPr>
          <w:szCs w:val="24"/>
        </w:rPr>
        <w:t xml:space="preserve">yüzde </w:t>
      </w:r>
      <w:r w:rsidR="001D3A48">
        <w:rPr>
          <w:szCs w:val="24"/>
        </w:rPr>
        <w:t>5,1, düşük-orta gelir</w:t>
      </w:r>
      <w:r w:rsidR="00392440">
        <w:rPr>
          <w:szCs w:val="24"/>
        </w:rPr>
        <w:t xml:space="preserve"> grubu</w:t>
      </w:r>
      <w:r>
        <w:rPr>
          <w:szCs w:val="24"/>
        </w:rPr>
        <w:t>nun yıllık</w:t>
      </w:r>
      <w:r w:rsidR="00D04558">
        <w:rPr>
          <w:szCs w:val="24"/>
        </w:rPr>
        <w:t xml:space="preserve"> ortalama</w:t>
      </w:r>
      <w:r w:rsidR="00392440">
        <w:rPr>
          <w:szCs w:val="24"/>
        </w:rPr>
        <w:t xml:space="preserve"> yüzde 5,3, üst-orta gelir ülke grubu</w:t>
      </w:r>
      <w:r>
        <w:rPr>
          <w:szCs w:val="24"/>
        </w:rPr>
        <w:t>nun yıllık</w:t>
      </w:r>
      <w:r w:rsidR="00D04558">
        <w:rPr>
          <w:szCs w:val="24"/>
        </w:rPr>
        <w:t xml:space="preserve"> ortalama</w:t>
      </w:r>
      <w:r w:rsidR="00392440">
        <w:rPr>
          <w:szCs w:val="24"/>
        </w:rPr>
        <w:t xml:space="preserve"> yüzde 4,8 </w:t>
      </w:r>
      <w:r>
        <w:rPr>
          <w:szCs w:val="24"/>
        </w:rPr>
        <w:t>ve yüksek gelirli ülke grubunun yıllık ortalama yüzde 2,2,</w:t>
      </w:r>
      <w:r w:rsidR="00392440">
        <w:rPr>
          <w:szCs w:val="24"/>
        </w:rPr>
        <w:t xml:space="preserve">büyüme </w:t>
      </w:r>
      <w:r>
        <w:rPr>
          <w:szCs w:val="24"/>
        </w:rPr>
        <w:t>sergilediği görülmüştür</w:t>
      </w:r>
      <w:proofErr w:type="gramStart"/>
      <w:r>
        <w:rPr>
          <w:szCs w:val="24"/>
        </w:rPr>
        <w:t>.</w:t>
      </w:r>
      <w:r w:rsidR="00392440">
        <w:rPr>
          <w:szCs w:val="24"/>
        </w:rPr>
        <w:t>.</w:t>
      </w:r>
      <w:proofErr w:type="gramEnd"/>
      <w:r w:rsidR="00392440">
        <w:rPr>
          <w:szCs w:val="24"/>
        </w:rPr>
        <w:t xml:space="preserve"> </w:t>
      </w:r>
      <w:r>
        <w:rPr>
          <w:szCs w:val="24"/>
        </w:rPr>
        <w:t>Türkiye ise içinde bulunduğu grup olan üst-orta gelir grubunun ortalama sergilediği büyüme oranından çok daha fazla büyüme sergilediği görülmektedir.</w:t>
      </w:r>
      <w:r w:rsidR="00E02FEC">
        <w:rPr>
          <w:szCs w:val="24"/>
        </w:rPr>
        <w:t xml:space="preserve"> Diğer bir açıdan Dünya Bankası ve IMF(</w:t>
      </w:r>
      <w:r w:rsidR="00E02FEC" w:rsidRPr="00E02FEC">
        <w:rPr>
          <w:szCs w:val="24"/>
        </w:rPr>
        <w:t xml:space="preserve">International </w:t>
      </w:r>
      <w:proofErr w:type="spellStart"/>
      <w:r w:rsidR="00E02FEC" w:rsidRPr="00E02FEC">
        <w:rPr>
          <w:szCs w:val="24"/>
        </w:rPr>
        <w:t>Monetary</w:t>
      </w:r>
      <w:proofErr w:type="spellEnd"/>
      <w:r w:rsidR="00E02FEC" w:rsidRPr="00E02FEC">
        <w:rPr>
          <w:szCs w:val="24"/>
        </w:rPr>
        <w:t xml:space="preserve"> </w:t>
      </w:r>
      <w:proofErr w:type="spellStart"/>
      <w:r w:rsidR="00E02FEC" w:rsidRPr="00E02FEC">
        <w:rPr>
          <w:szCs w:val="24"/>
        </w:rPr>
        <w:t>Fund</w:t>
      </w:r>
      <w:proofErr w:type="spellEnd"/>
      <w:r w:rsidR="00E02FEC">
        <w:rPr>
          <w:szCs w:val="24"/>
        </w:rPr>
        <w:t>) tarafında</w:t>
      </w:r>
      <w:r w:rsidR="00DF6DEC">
        <w:rPr>
          <w:szCs w:val="24"/>
        </w:rPr>
        <w:t>n</w:t>
      </w:r>
      <w:r w:rsidR="00E02FEC">
        <w:rPr>
          <w:szCs w:val="24"/>
        </w:rPr>
        <w:t xml:space="preserve"> ülkeler için</w:t>
      </w:r>
      <w:r w:rsidR="00861667">
        <w:rPr>
          <w:szCs w:val="24"/>
        </w:rPr>
        <w:t xml:space="preserve"> hesapla</w:t>
      </w:r>
      <w:r w:rsidR="00DF6DEC">
        <w:rPr>
          <w:szCs w:val="24"/>
        </w:rPr>
        <w:t>nan</w:t>
      </w:r>
      <w:r w:rsidR="00861667">
        <w:rPr>
          <w:szCs w:val="24"/>
        </w:rPr>
        <w:t xml:space="preserve"> gelecek dönemlere ait büyüme tahminleri incelendiğinde</w:t>
      </w:r>
      <w:r w:rsidR="00DF6DEC">
        <w:rPr>
          <w:szCs w:val="24"/>
        </w:rPr>
        <w:t>,</w:t>
      </w:r>
      <w:r w:rsidR="00861667">
        <w:rPr>
          <w:szCs w:val="24"/>
        </w:rPr>
        <w:t xml:space="preserve"> Türkiye’nin 2018 yılında yüzde 3,5 seviyelerinde büyümesi beklenirken 2019 yılında bu oranında yüzde 0,4 ile 1,6 seviyelerinde seyretmesi beklenmektedir. Daha sonraki yıllarda da 2017 yılına nazaran çok daha düşük büyüme sergilemesi beklenen Türkiye’nin en hızlı büyüyen ekonomiler sıralamasındaki 12’ci sıradaki yerini kaybetmesi beklenebilir.</w:t>
      </w:r>
    </w:p>
    <w:p w:rsidR="00995CA3" w:rsidRPr="00A513CE" w:rsidRDefault="00995CA3" w:rsidP="00A513CE">
      <w:pPr>
        <w:rPr>
          <w:rFonts w:cs="Times New Roman"/>
          <w:b/>
        </w:rPr>
      </w:pPr>
      <w:r w:rsidRPr="00A513CE">
        <w:rPr>
          <w:rFonts w:cs="Times New Roman"/>
          <w:b/>
        </w:rPr>
        <w:t>Tablo 6: Dünya Bankası ve IMF’in Türkiye için gelecek dönem büyüme tahminleri, %</w:t>
      </w:r>
    </w:p>
    <w:p w:rsidR="00EC540A" w:rsidRDefault="004A2EE4" w:rsidP="00262142">
      <w:pPr>
        <w:rPr>
          <w:rFonts w:cs="Times New Roman"/>
          <w:sz w:val="14"/>
          <w:szCs w:val="14"/>
        </w:rPr>
      </w:pPr>
      <w:r w:rsidRPr="004A2EE4">
        <w:rPr>
          <w:noProof/>
        </w:rPr>
        <w:drawing>
          <wp:inline distT="0" distB="0" distL="0" distR="0" wp14:anchorId="5F4BF476" wp14:editId="51BD1DC4">
            <wp:extent cx="1838325" cy="13430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38325" cy="1343025"/>
                    </a:xfrm>
                    <a:prstGeom prst="rect">
                      <a:avLst/>
                    </a:prstGeom>
                    <a:noFill/>
                    <a:ln>
                      <a:noFill/>
                    </a:ln>
                  </pic:spPr>
                </pic:pic>
              </a:graphicData>
            </a:graphic>
          </wp:inline>
        </w:drawing>
      </w:r>
    </w:p>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A513CE" w:rsidRDefault="00A513CE" w:rsidP="006977BC"/>
    <w:p w:rsidR="00030D4B" w:rsidRDefault="00C62C37" w:rsidP="006977BC">
      <w:pPr>
        <w:rPr>
          <w:sz w:val="28"/>
        </w:rPr>
      </w:pPr>
      <w:r>
        <w:t xml:space="preserve"> </w:t>
      </w:r>
      <w:r w:rsidR="00A513CE">
        <w:rPr>
          <w:b/>
          <w:sz w:val="28"/>
        </w:rPr>
        <w:t>Ek:</w:t>
      </w:r>
      <w:r w:rsidR="0026381F" w:rsidRPr="00D304BD">
        <w:rPr>
          <w:b/>
          <w:sz w:val="28"/>
        </w:rPr>
        <w:t xml:space="preserve"> İllerin GSYH değerleri, 2017</w:t>
      </w:r>
    </w:p>
    <w:p w:rsidR="00EA7B58" w:rsidRPr="00245C55" w:rsidRDefault="00710FA9" w:rsidP="00EA7B58">
      <w:pPr>
        <w:rPr>
          <w:rFonts w:cs="Times New Roman"/>
          <w:sz w:val="14"/>
          <w:szCs w:val="14"/>
        </w:rPr>
      </w:pPr>
      <w:r w:rsidRPr="00710FA9">
        <w:rPr>
          <w:rFonts w:cs="Times New Roman"/>
          <w:noProof/>
          <w:sz w:val="14"/>
          <w:szCs w:val="14"/>
        </w:rPr>
        <w:drawing>
          <wp:inline distT="0" distB="0" distL="0" distR="0" wp14:anchorId="21FFB91C" wp14:editId="5CA8E838">
            <wp:extent cx="5972810" cy="3085465"/>
            <wp:effectExtent l="0" t="0" r="8890" b="635"/>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8"/>
                    <a:stretch>
                      <a:fillRect/>
                    </a:stretch>
                  </pic:blipFill>
                  <pic:spPr>
                    <a:xfrm>
                      <a:off x="0" y="0"/>
                      <a:ext cx="5972810" cy="3085465"/>
                    </a:xfrm>
                    <a:prstGeom prst="rect">
                      <a:avLst/>
                    </a:prstGeom>
                  </pic:spPr>
                </pic:pic>
              </a:graphicData>
            </a:graphic>
          </wp:inline>
        </w:drawing>
      </w:r>
    </w:p>
    <w:sectPr w:rsidR="00EA7B58" w:rsidRPr="00245C55" w:rsidSect="00FE7E3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6D" w:rsidRDefault="0084726D" w:rsidP="00ED7DDE">
      <w:pPr>
        <w:spacing w:after="0" w:line="240" w:lineRule="auto"/>
      </w:pPr>
      <w:r>
        <w:separator/>
      </w:r>
    </w:p>
  </w:endnote>
  <w:endnote w:type="continuationSeparator" w:id="0">
    <w:p w:rsidR="0084726D" w:rsidRDefault="0084726D" w:rsidP="00ED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336181"/>
      <w:docPartObj>
        <w:docPartGallery w:val="Page Numbers (Bottom of Page)"/>
        <w:docPartUnique/>
      </w:docPartObj>
    </w:sdtPr>
    <w:sdtEndPr/>
    <w:sdtContent>
      <w:p w:rsidR="00FE7E3F" w:rsidRDefault="00FE7E3F">
        <w:pPr>
          <w:pStyle w:val="Altbilgi"/>
          <w:jc w:val="right"/>
        </w:pPr>
        <w:r>
          <w:fldChar w:fldCharType="begin"/>
        </w:r>
        <w:r>
          <w:instrText>PAGE   \* MERGEFORMAT</w:instrText>
        </w:r>
        <w:r>
          <w:fldChar w:fldCharType="separate"/>
        </w:r>
        <w:r w:rsidR="00B52729">
          <w:rPr>
            <w:noProof/>
          </w:rPr>
          <w:t>7</w:t>
        </w:r>
        <w:r>
          <w:fldChar w:fldCharType="end"/>
        </w:r>
      </w:p>
    </w:sdtContent>
  </w:sdt>
  <w:p w:rsidR="00FE7E3F" w:rsidRDefault="00FE7E3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6D" w:rsidRDefault="0084726D" w:rsidP="00ED7DDE">
      <w:pPr>
        <w:spacing w:after="0" w:line="240" w:lineRule="auto"/>
      </w:pPr>
      <w:r>
        <w:separator/>
      </w:r>
    </w:p>
  </w:footnote>
  <w:footnote w:type="continuationSeparator" w:id="0">
    <w:p w:rsidR="0084726D" w:rsidRDefault="0084726D" w:rsidP="00ED7DDE">
      <w:pPr>
        <w:spacing w:after="0" w:line="240" w:lineRule="auto"/>
      </w:pPr>
      <w:r>
        <w:continuationSeparator/>
      </w:r>
    </w:p>
  </w:footnote>
  <w:footnote w:id="1">
    <w:p w:rsidR="00B17A67" w:rsidRDefault="00B17A67">
      <w:pPr>
        <w:pStyle w:val="DipnotMetni"/>
      </w:pPr>
      <w:r>
        <w:rPr>
          <w:rStyle w:val="DipnotBavurusu"/>
        </w:rPr>
        <w:footnoteRef/>
      </w:r>
      <w:r>
        <w:t xml:space="preserve"> </w:t>
      </w:r>
      <w:r w:rsidRPr="00B17A67">
        <w:t xml:space="preserve">TÜİK Dönemsel Gayrisafi Yurt İçi </w:t>
      </w:r>
      <w:proofErr w:type="gramStart"/>
      <w:r w:rsidRPr="00B17A67">
        <w:t>Hasıla</w:t>
      </w:r>
      <w:proofErr w:type="gramEnd"/>
      <w:r w:rsidRPr="00B17A67">
        <w:t xml:space="preserve"> / hesaplama kuralları</w:t>
      </w:r>
    </w:p>
  </w:footnote>
  <w:footnote w:id="2">
    <w:p w:rsidR="006977BC" w:rsidRDefault="006977BC">
      <w:pPr>
        <w:pStyle w:val="DipnotMetni"/>
      </w:pPr>
      <w:r>
        <w:rPr>
          <w:rStyle w:val="DipnotBavurusu"/>
        </w:rPr>
        <w:footnoteRef/>
      </w:r>
      <w:r>
        <w:t xml:space="preserve"> </w:t>
      </w:r>
      <w:proofErr w:type="spellStart"/>
      <w:r>
        <w:t>A.g.e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45C2"/>
    <w:multiLevelType w:val="hybridMultilevel"/>
    <w:tmpl w:val="A8FE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E81403"/>
    <w:multiLevelType w:val="hybridMultilevel"/>
    <w:tmpl w:val="EB28E5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0F6CB7"/>
    <w:multiLevelType w:val="hybridMultilevel"/>
    <w:tmpl w:val="EF66A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szAxNDKxMDK2NDRX0lEKTi0uzszPAykwNK4FAM+4Cg4tAAAA"/>
  </w:docVars>
  <w:rsids>
    <w:rsidRoot w:val="00D23355"/>
    <w:rsid w:val="000136C0"/>
    <w:rsid w:val="00026001"/>
    <w:rsid w:val="00030D4B"/>
    <w:rsid w:val="00031D26"/>
    <w:rsid w:val="00053223"/>
    <w:rsid w:val="000701FD"/>
    <w:rsid w:val="0008648D"/>
    <w:rsid w:val="0009078E"/>
    <w:rsid w:val="000924D3"/>
    <w:rsid w:val="00097106"/>
    <w:rsid w:val="000A4377"/>
    <w:rsid w:val="000B7D47"/>
    <w:rsid w:val="000C5BCA"/>
    <w:rsid w:val="000C66EB"/>
    <w:rsid w:val="000D18BE"/>
    <w:rsid w:val="000D3EEA"/>
    <w:rsid w:val="00107B31"/>
    <w:rsid w:val="0011182A"/>
    <w:rsid w:val="00113AD5"/>
    <w:rsid w:val="00115460"/>
    <w:rsid w:val="001217A7"/>
    <w:rsid w:val="00126611"/>
    <w:rsid w:val="00126DEB"/>
    <w:rsid w:val="00134C18"/>
    <w:rsid w:val="00142EA4"/>
    <w:rsid w:val="00145FFA"/>
    <w:rsid w:val="001461AF"/>
    <w:rsid w:val="001524B1"/>
    <w:rsid w:val="00154C8B"/>
    <w:rsid w:val="0016246E"/>
    <w:rsid w:val="00183446"/>
    <w:rsid w:val="0018748C"/>
    <w:rsid w:val="001A01FB"/>
    <w:rsid w:val="001A67A3"/>
    <w:rsid w:val="001B2572"/>
    <w:rsid w:val="001B28A5"/>
    <w:rsid w:val="001C20F2"/>
    <w:rsid w:val="001D3A48"/>
    <w:rsid w:val="001D7ADC"/>
    <w:rsid w:val="001E0DF3"/>
    <w:rsid w:val="001E191D"/>
    <w:rsid w:val="001E5A63"/>
    <w:rsid w:val="001F7633"/>
    <w:rsid w:val="002017DF"/>
    <w:rsid w:val="00212CD0"/>
    <w:rsid w:val="002142B6"/>
    <w:rsid w:val="00216A83"/>
    <w:rsid w:val="0022013C"/>
    <w:rsid w:val="0022581D"/>
    <w:rsid w:val="00230A83"/>
    <w:rsid w:val="0023187F"/>
    <w:rsid w:val="0023247C"/>
    <w:rsid w:val="00233663"/>
    <w:rsid w:val="00233BD5"/>
    <w:rsid w:val="0024405A"/>
    <w:rsid w:val="002442F9"/>
    <w:rsid w:val="00245C55"/>
    <w:rsid w:val="0025778F"/>
    <w:rsid w:val="002609F6"/>
    <w:rsid w:val="00262142"/>
    <w:rsid w:val="0026381F"/>
    <w:rsid w:val="00265EB0"/>
    <w:rsid w:val="00267345"/>
    <w:rsid w:val="0027482A"/>
    <w:rsid w:val="00277E72"/>
    <w:rsid w:val="00294167"/>
    <w:rsid w:val="002B6C47"/>
    <w:rsid w:val="002B71EE"/>
    <w:rsid w:val="002D1A97"/>
    <w:rsid w:val="002D36B1"/>
    <w:rsid w:val="002D3E19"/>
    <w:rsid w:val="002D4A0C"/>
    <w:rsid w:val="002D595C"/>
    <w:rsid w:val="002E43A7"/>
    <w:rsid w:val="002E78D2"/>
    <w:rsid w:val="002F35DF"/>
    <w:rsid w:val="002F402C"/>
    <w:rsid w:val="002F7E18"/>
    <w:rsid w:val="00307628"/>
    <w:rsid w:val="003116B9"/>
    <w:rsid w:val="003216E0"/>
    <w:rsid w:val="0032215F"/>
    <w:rsid w:val="00325D36"/>
    <w:rsid w:val="00327F07"/>
    <w:rsid w:val="00342B2E"/>
    <w:rsid w:val="00353B1A"/>
    <w:rsid w:val="00356EC9"/>
    <w:rsid w:val="00356F18"/>
    <w:rsid w:val="00357954"/>
    <w:rsid w:val="003641B3"/>
    <w:rsid w:val="00381AE7"/>
    <w:rsid w:val="00386AAB"/>
    <w:rsid w:val="00392440"/>
    <w:rsid w:val="003A57CB"/>
    <w:rsid w:val="003B7069"/>
    <w:rsid w:val="003C5DE5"/>
    <w:rsid w:val="003D35A9"/>
    <w:rsid w:val="003D428A"/>
    <w:rsid w:val="003E4424"/>
    <w:rsid w:val="003E4EC1"/>
    <w:rsid w:val="003E52EB"/>
    <w:rsid w:val="003E695D"/>
    <w:rsid w:val="003E7C4A"/>
    <w:rsid w:val="003F0425"/>
    <w:rsid w:val="003F3021"/>
    <w:rsid w:val="004008C9"/>
    <w:rsid w:val="00401104"/>
    <w:rsid w:val="00427EB8"/>
    <w:rsid w:val="004309D9"/>
    <w:rsid w:val="00432DF5"/>
    <w:rsid w:val="00434062"/>
    <w:rsid w:val="004361F2"/>
    <w:rsid w:val="00445DB0"/>
    <w:rsid w:val="00450880"/>
    <w:rsid w:val="0045500E"/>
    <w:rsid w:val="00455DBF"/>
    <w:rsid w:val="004615AC"/>
    <w:rsid w:val="00462E2E"/>
    <w:rsid w:val="00464D53"/>
    <w:rsid w:val="0046567B"/>
    <w:rsid w:val="00467082"/>
    <w:rsid w:val="0047263E"/>
    <w:rsid w:val="00474FF2"/>
    <w:rsid w:val="00482DA8"/>
    <w:rsid w:val="0048359C"/>
    <w:rsid w:val="004A2EE4"/>
    <w:rsid w:val="004B7732"/>
    <w:rsid w:val="004B77BF"/>
    <w:rsid w:val="004C636E"/>
    <w:rsid w:val="004D17E9"/>
    <w:rsid w:val="004D4775"/>
    <w:rsid w:val="004D756C"/>
    <w:rsid w:val="004E005E"/>
    <w:rsid w:val="004E2C9B"/>
    <w:rsid w:val="00500648"/>
    <w:rsid w:val="005013AB"/>
    <w:rsid w:val="00502A9D"/>
    <w:rsid w:val="00510282"/>
    <w:rsid w:val="00510FAE"/>
    <w:rsid w:val="00526414"/>
    <w:rsid w:val="005274CB"/>
    <w:rsid w:val="00530076"/>
    <w:rsid w:val="00530BA9"/>
    <w:rsid w:val="005405F5"/>
    <w:rsid w:val="0056007F"/>
    <w:rsid w:val="00560CA6"/>
    <w:rsid w:val="005616D3"/>
    <w:rsid w:val="00564E65"/>
    <w:rsid w:val="00567194"/>
    <w:rsid w:val="0057000F"/>
    <w:rsid w:val="0057123A"/>
    <w:rsid w:val="00574C38"/>
    <w:rsid w:val="0057695D"/>
    <w:rsid w:val="00585A31"/>
    <w:rsid w:val="0059488F"/>
    <w:rsid w:val="0059793D"/>
    <w:rsid w:val="005A0465"/>
    <w:rsid w:val="005A5D15"/>
    <w:rsid w:val="005B586F"/>
    <w:rsid w:val="005C1111"/>
    <w:rsid w:val="005C3DCF"/>
    <w:rsid w:val="005C53F8"/>
    <w:rsid w:val="005C5F51"/>
    <w:rsid w:val="005D1B77"/>
    <w:rsid w:val="005E647C"/>
    <w:rsid w:val="005F18C6"/>
    <w:rsid w:val="006020BD"/>
    <w:rsid w:val="00602551"/>
    <w:rsid w:val="006071B6"/>
    <w:rsid w:val="0061300A"/>
    <w:rsid w:val="006231F0"/>
    <w:rsid w:val="006241BA"/>
    <w:rsid w:val="0063416A"/>
    <w:rsid w:val="0063571A"/>
    <w:rsid w:val="006443EB"/>
    <w:rsid w:val="00650344"/>
    <w:rsid w:val="00655094"/>
    <w:rsid w:val="006558B0"/>
    <w:rsid w:val="00655E4A"/>
    <w:rsid w:val="00676DBB"/>
    <w:rsid w:val="006815FD"/>
    <w:rsid w:val="006858CA"/>
    <w:rsid w:val="00686008"/>
    <w:rsid w:val="00694A8E"/>
    <w:rsid w:val="006957A2"/>
    <w:rsid w:val="006977BC"/>
    <w:rsid w:val="00697D3C"/>
    <w:rsid w:val="006C0BDD"/>
    <w:rsid w:val="006C3067"/>
    <w:rsid w:val="006C51FC"/>
    <w:rsid w:val="006C6552"/>
    <w:rsid w:val="006C7C68"/>
    <w:rsid w:val="006D23EC"/>
    <w:rsid w:val="006D41B5"/>
    <w:rsid w:val="006D597F"/>
    <w:rsid w:val="006D779C"/>
    <w:rsid w:val="006D7EBB"/>
    <w:rsid w:val="006E2A28"/>
    <w:rsid w:val="006E2E1F"/>
    <w:rsid w:val="006E50E2"/>
    <w:rsid w:val="006E656F"/>
    <w:rsid w:val="00700C87"/>
    <w:rsid w:val="0070186C"/>
    <w:rsid w:val="00701FB6"/>
    <w:rsid w:val="00702924"/>
    <w:rsid w:val="0070700B"/>
    <w:rsid w:val="00710FA9"/>
    <w:rsid w:val="00714580"/>
    <w:rsid w:val="00717A88"/>
    <w:rsid w:val="007244A7"/>
    <w:rsid w:val="00731B2B"/>
    <w:rsid w:val="00735E1C"/>
    <w:rsid w:val="00740FF8"/>
    <w:rsid w:val="007441EB"/>
    <w:rsid w:val="00755EFC"/>
    <w:rsid w:val="007736BE"/>
    <w:rsid w:val="00773BC6"/>
    <w:rsid w:val="00786CD3"/>
    <w:rsid w:val="007931E6"/>
    <w:rsid w:val="00794D0B"/>
    <w:rsid w:val="00797EBE"/>
    <w:rsid w:val="007A6BF3"/>
    <w:rsid w:val="007D06B9"/>
    <w:rsid w:val="007D2C97"/>
    <w:rsid w:val="007D46F2"/>
    <w:rsid w:val="007E017B"/>
    <w:rsid w:val="007E2116"/>
    <w:rsid w:val="007E2227"/>
    <w:rsid w:val="007E3DB3"/>
    <w:rsid w:val="007E552F"/>
    <w:rsid w:val="007E7D6C"/>
    <w:rsid w:val="00817D01"/>
    <w:rsid w:val="008269E0"/>
    <w:rsid w:val="00832261"/>
    <w:rsid w:val="00833767"/>
    <w:rsid w:val="00846F82"/>
    <w:rsid w:val="0084726D"/>
    <w:rsid w:val="0085076A"/>
    <w:rsid w:val="00851D1C"/>
    <w:rsid w:val="00852C13"/>
    <w:rsid w:val="00853A88"/>
    <w:rsid w:val="00861667"/>
    <w:rsid w:val="00866FDE"/>
    <w:rsid w:val="00870185"/>
    <w:rsid w:val="008729E3"/>
    <w:rsid w:val="00886297"/>
    <w:rsid w:val="00897980"/>
    <w:rsid w:val="008A3135"/>
    <w:rsid w:val="008A4732"/>
    <w:rsid w:val="008A71D6"/>
    <w:rsid w:val="008B63DE"/>
    <w:rsid w:val="008C21F1"/>
    <w:rsid w:val="008C2C15"/>
    <w:rsid w:val="008D1077"/>
    <w:rsid w:val="008D3436"/>
    <w:rsid w:val="008D57AE"/>
    <w:rsid w:val="008F1B9E"/>
    <w:rsid w:val="008F340F"/>
    <w:rsid w:val="0090382A"/>
    <w:rsid w:val="0091250C"/>
    <w:rsid w:val="00922CFC"/>
    <w:rsid w:val="00926F30"/>
    <w:rsid w:val="0093069E"/>
    <w:rsid w:val="00932AE2"/>
    <w:rsid w:val="0095227F"/>
    <w:rsid w:val="00956636"/>
    <w:rsid w:val="00962806"/>
    <w:rsid w:val="00964E82"/>
    <w:rsid w:val="00966127"/>
    <w:rsid w:val="009738DE"/>
    <w:rsid w:val="00975097"/>
    <w:rsid w:val="00976301"/>
    <w:rsid w:val="009834B5"/>
    <w:rsid w:val="00985D29"/>
    <w:rsid w:val="00985F68"/>
    <w:rsid w:val="009866B5"/>
    <w:rsid w:val="009869AF"/>
    <w:rsid w:val="009915B9"/>
    <w:rsid w:val="00995CA3"/>
    <w:rsid w:val="009A166A"/>
    <w:rsid w:val="009A5E22"/>
    <w:rsid w:val="009A7ECD"/>
    <w:rsid w:val="009C022D"/>
    <w:rsid w:val="009C2C82"/>
    <w:rsid w:val="009D072E"/>
    <w:rsid w:val="009D0C49"/>
    <w:rsid w:val="009D0E3A"/>
    <w:rsid w:val="009F488C"/>
    <w:rsid w:val="009F54F1"/>
    <w:rsid w:val="00A00041"/>
    <w:rsid w:val="00A01E60"/>
    <w:rsid w:val="00A02167"/>
    <w:rsid w:val="00A05536"/>
    <w:rsid w:val="00A21989"/>
    <w:rsid w:val="00A347FE"/>
    <w:rsid w:val="00A40EA2"/>
    <w:rsid w:val="00A430B2"/>
    <w:rsid w:val="00A44E9E"/>
    <w:rsid w:val="00A4796F"/>
    <w:rsid w:val="00A513CE"/>
    <w:rsid w:val="00A57276"/>
    <w:rsid w:val="00A70671"/>
    <w:rsid w:val="00A77365"/>
    <w:rsid w:val="00A817A0"/>
    <w:rsid w:val="00A93938"/>
    <w:rsid w:val="00A978ED"/>
    <w:rsid w:val="00AA141B"/>
    <w:rsid w:val="00AA5D16"/>
    <w:rsid w:val="00AB1161"/>
    <w:rsid w:val="00AB2EBB"/>
    <w:rsid w:val="00AC18DE"/>
    <w:rsid w:val="00AC2237"/>
    <w:rsid w:val="00AD2065"/>
    <w:rsid w:val="00AE466F"/>
    <w:rsid w:val="00AF48C2"/>
    <w:rsid w:val="00AF5EA7"/>
    <w:rsid w:val="00B00458"/>
    <w:rsid w:val="00B0459A"/>
    <w:rsid w:val="00B0675B"/>
    <w:rsid w:val="00B177CB"/>
    <w:rsid w:val="00B17A67"/>
    <w:rsid w:val="00B40175"/>
    <w:rsid w:val="00B40511"/>
    <w:rsid w:val="00B421C6"/>
    <w:rsid w:val="00B44532"/>
    <w:rsid w:val="00B47D88"/>
    <w:rsid w:val="00B52729"/>
    <w:rsid w:val="00B52A68"/>
    <w:rsid w:val="00B54C77"/>
    <w:rsid w:val="00B60DF7"/>
    <w:rsid w:val="00B621A2"/>
    <w:rsid w:val="00B6602D"/>
    <w:rsid w:val="00B679AB"/>
    <w:rsid w:val="00B71027"/>
    <w:rsid w:val="00B745FB"/>
    <w:rsid w:val="00B80CFF"/>
    <w:rsid w:val="00B8240D"/>
    <w:rsid w:val="00B82B15"/>
    <w:rsid w:val="00B95909"/>
    <w:rsid w:val="00B973FC"/>
    <w:rsid w:val="00B974A8"/>
    <w:rsid w:val="00BA3A4A"/>
    <w:rsid w:val="00BA43E2"/>
    <w:rsid w:val="00BA63C2"/>
    <w:rsid w:val="00BB2B8A"/>
    <w:rsid w:val="00BB40C9"/>
    <w:rsid w:val="00BB60EF"/>
    <w:rsid w:val="00BC0455"/>
    <w:rsid w:val="00BC20F8"/>
    <w:rsid w:val="00BC294E"/>
    <w:rsid w:val="00BC5BD4"/>
    <w:rsid w:val="00BC5F10"/>
    <w:rsid w:val="00BD2645"/>
    <w:rsid w:val="00BD2C84"/>
    <w:rsid w:val="00BD55B1"/>
    <w:rsid w:val="00BE2889"/>
    <w:rsid w:val="00BE5D06"/>
    <w:rsid w:val="00C02BC3"/>
    <w:rsid w:val="00C05F0D"/>
    <w:rsid w:val="00C11BA5"/>
    <w:rsid w:val="00C144CC"/>
    <w:rsid w:val="00C210BB"/>
    <w:rsid w:val="00C21D8B"/>
    <w:rsid w:val="00C23FFF"/>
    <w:rsid w:val="00C3018B"/>
    <w:rsid w:val="00C3586E"/>
    <w:rsid w:val="00C35D32"/>
    <w:rsid w:val="00C3740F"/>
    <w:rsid w:val="00C47A5C"/>
    <w:rsid w:val="00C62C37"/>
    <w:rsid w:val="00C730E3"/>
    <w:rsid w:val="00C7367E"/>
    <w:rsid w:val="00C813D3"/>
    <w:rsid w:val="00C81D76"/>
    <w:rsid w:val="00C833AE"/>
    <w:rsid w:val="00C8387D"/>
    <w:rsid w:val="00C84453"/>
    <w:rsid w:val="00C85E24"/>
    <w:rsid w:val="00C86D2C"/>
    <w:rsid w:val="00C878DD"/>
    <w:rsid w:val="00C943E5"/>
    <w:rsid w:val="00C97976"/>
    <w:rsid w:val="00C97D83"/>
    <w:rsid w:val="00CA0CAC"/>
    <w:rsid w:val="00CA2F5B"/>
    <w:rsid w:val="00CB0BF2"/>
    <w:rsid w:val="00CB1068"/>
    <w:rsid w:val="00CB17F4"/>
    <w:rsid w:val="00CC108E"/>
    <w:rsid w:val="00CC4B31"/>
    <w:rsid w:val="00CC7D5F"/>
    <w:rsid w:val="00CF5A51"/>
    <w:rsid w:val="00CF741D"/>
    <w:rsid w:val="00D04558"/>
    <w:rsid w:val="00D07B5E"/>
    <w:rsid w:val="00D1187C"/>
    <w:rsid w:val="00D11899"/>
    <w:rsid w:val="00D2299D"/>
    <w:rsid w:val="00D23355"/>
    <w:rsid w:val="00D23AE2"/>
    <w:rsid w:val="00D304BD"/>
    <w:rsid w:val="00D30D71"/>
    <w:rsid w:val="00D40A8B"/>
    <w:rsid w:val="00D40E99"/>
    <w:rsid w:val="00D431D4"/>
    <w:rsid w:val="00D4536B"/>
    <w:rsid w:val="00D500F0"/>
    <w:rsid w:val="00D66C98"/>
    <w:rsid w:val="00D7287C"/>
    <w:rsid w:val="00D77FD3"/>
    <w:rsid w:val="00D86CAD"/>
    <w:rsid w:val="00D95A42"/>
    <w:rsid w:val="00DA24B7"/>
    <w:rsid w:val="00DA4C63"/>
    <w:rsid w:val="00DB1B7B"/>
    <w:rsid w:val="00DB3D96"/>
    <w:rsid w:val="00DB591C"/>
    <w:rsid w:val="00DC2955"/>
    <w:rsid w:val="00DC5FDC"/>
    <w:rsid w:val="00DC6D62"/>
    <w:rsid w:val="00DC6D72"/>
    <w:rsid w:val="00DD6A67"/>
    <w:rsid w:val="00DE7934"/>
    <w:rsid w:val="00DF6DEC"/>
    <w:rsid w:val="00E01316"/>
    <w:rsid w:val="00E0263F"/>
    <w:rsid w:val="00E02FD6"/>
    <w:rsid w:val="00E02FEC"/>
    <w:rsid w:val="00E03975"/>
    <w:rsid w:val="00E16E22"/>
    <w:rsid w:val="00E20DFD"/>
    <w:rsid w:val="00E2203C"/>
    <w:rsid w:val="00E30574"/>
    <w:rsid w:val="00E33514"/>
    <w:rsid w:val="00E43E10"/>
    <w:rsid w:val="00E50C57"/>
    <w:rsid w:val="00E5243F"/>
    <w:rsid w:val="00E54721"/>
    <w:rsid w:val="00E65D11"/>
    <w:rsid w:val="00E7092A"/>
    <w:rsid w:val="00E718D3"/>
    <w:rsid w:val="00E73DE8"/>
    <w:rsid w:val="00E75F8D"/>
    <w:rsid w:val="00E86810"/>
    <w:rsid w:val="00E91F89"/>
    <w:rsid w:val="00E97112"/>
    <w:rsid w:val="00EA7B58"/>
    <w:rsid w:val="00EB0300"/>
    <w:rsid w:val="00EB4703"/>
    <w:rsid w:val="00EC183C"/>
    <w:rsid w:val="00EC3F2A"/>
    <w:rsid w:val="00EC540A"/>
    <w:rsid w:val="00EC79B6"/>
    <w:rsid w:val="00ED7DDE"/>
    <w:rsid w:val="00EE39CF"/>
    <w:rsid w:val="00EE4EB1"/>
    <w:rsid w:val="00EE58FC"/>
    <w:rsid w:val="00EF1A41"/>
    <w:rsid w:val="00EF3B63"/>
    <w:rsid w:val="00EF4E45"/>
    <w:rsid w:val="00F01DB4"/>
    <w:rsid w:val="00F0346B"/>
    <w:rsid w:val="00F044E8"/>
    <w:rsid w:val="00F04AAD"/>
    <w:rsid w:val="00F171CA"/>
    <w:rsid w:val="00F2658C"/>
    <w:rsid w:val="00F36C42"/>
    <w:rsid w:val="00F378B3"/>
    <w:rsid w:val="00F412AD"/>
    <w:rsid w:val="00F6200C"/>
    <w:rsid w:val="00F66E97"/>
    <w:rsid w:val="00F72077"/>
    <w:rsid w:val="00F7264C"/>
    <w:rsid w:val="00F90F4B"/>
    <w:rsid w:val="00F92E63"/>
    <w:rsid w:val="00F95609"/>
    <w:rsid w:val="00F97D40"/>
    <w:rsid w:val="00FA5880"/>
    <w:rsid w:val="00FC420D"/>
    <w:rsid w:val="00FC5B55"/>
    <w:rsid w:val="00FD051F"/>
    <w:rsid w:val="00FD6636"/>
    <w:rsid w:val="00FD7EF6"/>
    <w:rsid w:val="00FE0EB4"/>
    <w:rsid w:val="00FE2984"/>
    <w:rsid w:val="00FE2A7C"/>
    <w:rsid w:val="00FE79F3"/>
    <w:rsid w:val="00FE7E3F"/>
    <w:rsid w:val="00FF004C"/>
    <w:rsid w:val="00FF50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E62DAE8-45CD-4E6B-8F29-CE2EA03A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18"/>
    <w:pPr>
      <w:jc w:val="both"/>
    </w:pPr>
    <w:rPr>
      <w:rFonts w:ascii="Times New Roman" w:eastAsiaTheme="minorEastAsia" w:hAnsi="Times New Roman"/>
      <w:sz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D206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2065"/>
    <w:rPr>
      <w:rFonts w:eastAsiaTheme="minorEastAsia"/>
      <w:lang w:val="tr-TR" w:eastAsia="tr-TR"/>
    </w:rPr>
  </w:style>
  <w:style w:type="paragraph" w:styleId="BalonMetni">
    <w:name w:val="Balloon Text"/>
    <w:basedOn w:val="Normal"/>
    <w:link w:val="BalonMetniChar"/>
    <w:uiPriority w:val="99"/>
    <w:semiHidden/>
    <w:unhideWhenUsed/>
    <w:rsid w:val="00AD2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2065"/>
    <w:rPr>
      <w:rFonts w:ascii="Tahoma" w:eastAsiaTheme="minorEastAsia" w:hAnsi="Tahoma" w:cs="Tahoma"/>
      <w:sz w:val="16"/>
      <w:szCs w:val="16"/>
      <w:lang w:val="tr-TR" w:eastAsia="tr-TR"/>
    </w:rPr>
  </w:style>
  <w:style w:type="paragraph" w:styleId="ListeParagraf">
    <w:name w:val="List Paragraph"/>
    <w:basedOn w:val="Normal"/>
    <w:uiPriority w:val="34"/>
    <w:qFormat/>
    <w:rsid w:val="00AD2065"/>
    <w:pPr>
      <w:ind w:left="720"/>
      <w:contextualSpacing/>
    </w:pPr>
  </w:style>
  <w:style w:type="table" w:styleId="TabloKlavuzu">
    <w:name w:val="Table Grid"/>
    <w:basedOn w:val="NormalTablo"/>
    <w:uiPriority w:val="59"/>
    <w:rsid w:val="00AD2065"/>
    <w:pPr>
      <w:spacing w:after="0" w:line="240" w:lineRule="auto"/>
    </w:pPr>
    <w:rPr>
      <w:rFonts w:eastAsiaTheme="minorEastAsia"/>
      <w:lang w:val="tr-TR"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AB2EB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A0553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resim">
    <w:name w:val="rresim"/>
    <w:basedOn w:val="Normal"/>
    <w:link w:val="rresimChar"/>
    <w:qFormat/>
    <w:rsid w:val="00870185"/>
    <w:pPr>
      <w:keepNext/>
    </w:pPr>
    <w:rPr>
      <w:b/>
    </w:rPr>
  </w:style>
  <w:style w:type="character" w:customStyle="1" w:styleId="rresimChar">
    <w:name w:val="rresim Char"/>
    <w:basedOn w:val="VarsaylanParagrafYazTipi"/>
    <w:link w:val="rresim"/>
    <w:rsid w:val="00870185"/>
    <w:rPr>
      <w:rFonts w:ascii="Times New Roman" w:eastAsiaTheme="minorEastAsia" w:hAnsi="Times New Roman"/>
      <w:b/>
      <w:sz w:val="24"/>
      <w:lang w:val="tr-TR" w:eastAsia="tr-TR"/>
    </w:rPr>
  </w:style>
  <w:style w:type="paragraph" w:styleId="DipnotMetni">
    <w:name w:val="footnote text"/>
    <w:basedOn w:val="Normal"/>
    <w:link w:val="DipnotMetniChar"/>
    <w:uiPriority w:val="99"/>
    <w:semiHidden/>
    <w:unhideWhenUsed/>
    <w:rsid w:val="00ED7DDE"/>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D7DDE"/>
    <w:rPr>
      <w:rFonts w:ascii="Times New Roman" w:eastAsiaTheme="minorEastAsia" w:hAnsi="Times New Roman"/>
      <w:sz w:val="20"/>
      <w:szCs w:val="20"/>
      <w:lang w:val="tr-TR" w:eastAsia="tr-TR"/>
    </w:rPr>
  </w:style>
  <w:style w:type="character" w:styleId="DipnotBavurusu">
    <w:name w:val="footnote reference"/>
    <w:basedOn w:val="VarsaylanParagrafYazTipi"/>
    <w:uiPriority w:val="99"/>
    <w:semiHidden/>
    <w:unhideWhenUsed/>
    <w:rsid w:val="00ED7DDE"/>
    <w:rPr>
      <w:vertAlign w:val="superscript"/>
    </w:rPr>
  </w:style>
  <w:style w:type="character" w:styleId="AklamaBavurusu">
    <w:name w:val="annotation reference"/>
    <w:basedOn w:val="VarsaylanParagrafYazTipi"/>
    <w:uiPriority w:val="99"/>
    <w:semiHidden/>
    <w:unhideWhenUsed/>
    <w:rsid w:val="00F378B3"/>
    <w:rPr>
      <w:sz w:val="16"/>
      <w:szCs w:val="16"/>
    </w:rPr>
  </w:style>
  <w:style w:type="paragraph" w:styleId="AklamaMetni">
    <w:name w:val="annotation text"/>
    <w:basedOn w:val="Normal"/>
    <w:link w:val="AklamaMetniChar"/>
    <w:uiPriority w:val="99"/>
    <w:semiHidden/>
    <w:unhideWhenUsed/>
    <w:rsid w:val="00F378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378B3"/>
    <w:rPr>
      <w:rFonts w:ascii="Times New Roman" w:eastAsiaTheme="minorEastAsia" w:hAnsi="Times New Roman"/>
      <w:sz w:val="20"/>
      <w:szCs w:val="20"/>
      <w:lang w:val="tr-TR" w:eastAsia="tr-TR"/>
    </w:rPr>
  </w:style>
  <w:style w:type="paragraph" w:styleId="AklamaKonusu">
    <w:name w:val="annotation subject"/>
    <w:basedOn w:val="AklamaMetni"/>
    <w:next w:val="AklamaMetni"/>
    <w:link w:val="AklamaKonusuChar"/>
    <w:uiPriority w:val="99"/>
    <w:semiHidden/>
    <w:unhideWhenUsed/>
    <w:rsid w:val="00F378B3"/>
    <w:rPr>
      <w:b/>
      <w:bCs/>
    </w:rPr>
  </w:style>
  <w:style w:type="character" w:customStyle="1" w:styleId="AklamaKonusuChar">
    <w:name w:val="Açıklama Konusu Char"/>
    <w:basedOn w:val="AklamaMetniChar"/>
    <w:link w:val="AklamaKonusu"/>
    <w:uiPriority w:val="99"/>
    <w:semiHidden/>
    <w:rsid w:val="00F378B3"/>
    <w:rPr>
      <w:rFonts w:ascii="Times New Roman" w:eastAsiaTheme="minorEastAsia" w:hAnsi="Times New Roman"/>
      <w:b/>
      <w:bCs/>
      <w:sz w:val="20"/>
      <w:szCs w:val="20"/>
      <w:lang w:val="tr-TR" w:eastAsia="tr-TR"/>
    </w:rPr>
  </w:style>
  <w:style w:type="paragraph" w:styleId="Altbilgi">
    <w:name w:val="footer"/>
    <w:basedOn w:val="Normal"/>
    <w:link w:val="AltbilgiChar"/>
    <w:uiPriority w:val="99"/>
    <w:unhideWhenUsed/>
    <w:rsid w:val="006D779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779C"/>
    <w:rPr>
      <w:rFonts w:ascii="Times New Roman" w:eastAsiaTheme="minorEastAsia" w:hAnsi="Times New Roman"/>
      <w:sz w:val="24"/>
      <w:lang w:val="tr-TR" w:eastAsia="tr-TR"/>
    </w:rPr>
  </w:style>
  <w:style w:type="paragraph" w:styleId="NormalWeb">
    <w:name w:val="Normal (Web)"/>
    <w:basedOn w:val="Normal"/>
    <w:uiPriority w:val="99"/>
    <w:semiHidden/>
    <w:unhideWhenUsed/>
    <w:rsid w:val="00450880"/>
    <w:pPr>
      <w:spacing w:before="100" w:beforeAutospacing="1" w:after="100" w:afterAutospacing="1" w:line="240" w:lineRule="auto"/>
      <w:jc w:val="left"/>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738">
      <w:bodyDiv w:val="1"/>
      <w:marLeft w:val="0"/>
      <w:marRight w:val="0"/>
      <w:marTop w:val="0"/>
      <w:marBottom w:val="0"/>
      <w:divBdr>
        <w:top w:val="none" w:sz="0" w:space="0" w:color="auto"/>
        <w:left w:val="none" w:sz="0" w:space="0" w:color="auto"/>
        <w:bottom w:val="none" w:sz="0" w:space="0" w:color="auto"/>
        <w:right w:val="none" w:sz="0" w:space="0" w:color="auto"/>
      </w:divBdr>
    </w:div>
    <w:div w:id="57871090">
      <w:bodyDiv w:val="1"/>
      <w:marLeft w:val="0"/>
      <w:marRight w:val="0"/>
      <w:marTop w:val="0"/>
      <w:marBottom w:val="0"/>
      <w:divBdr>
        <w:top w:val="none" w:sz="0" w:space="0" w:color="auto"/>
        <w:left w:val="none" w:sz="0" w:space="0" w:color="auto"/>
        <w:bottom w:val="none" w:sz="0" w:space="0" w:color="auto"/>
        <w:right w:val="none" w:sz="0" w:space="0" w:color="auto"/>
      </w:divBdr>
    </w:div>
    <w:div w:id="69425993">
      <w:bodyDiv w:val="1"/>
      <w:marLeft w:val="0"/>
      <w:marRight w:val="0"/>
      <w:marTop w:val="0"/>
      <w:marBottom w:val="0"/>
      <w:divBdr>
        <w:top w:val="none" w:sz="0" w:space="0" w:color="auto"/>
        <w:left w:val="none" w:sz="0" w:space="0" w:color="auto"/>
        <w:bottom w:val="none" w:sz="0" w:space="0" w:color="auto"/>
        <w:right w:val="none" w:sz="0" w:space="0" w:color="auto"/>
      </w:divBdr>
    </w:div>
    <w:div w:id="142700073">
      <w:bodyDiv w:val="1"/>
      <w:marLeft w:val="0"/>
      <w:marRight w:val="0"/>
      <w:marTop w:val="0"/>
      <w:marBottom w:val="0"/>
      <w:divBdr>
        <w:top w:val="none" w:sz="0" w:space="0" w:color="auto"/>
        <w:left w:val="none" w:sz="0" w:space="0" w:color="auto"/>
        <w:bottom w:val="none" w:sz="0" w:space="0" w:color="auto"/>
        <w:right w:val="none" w:sz="0" w:space="0" w:color="auto"/>
      </w:divBdr>
    </w:div>
    <w:div w:id="159582854">
      <w:bodyDiv w:val="1"/>
      <w:marLeft w:val="0"/>
      <w:marRight w:val="0"/>
      <w:marTop w:val="0"/>
      <w:marBottom w:val="0"/>
      <w:divBdr>
        <w:top w:val="none" w:sz="0" w:space="0" w:color="auto"/>
        <w:left w:val="none" w:sz="0" w:space="0" w:color="auto"/>
        <w:bottom w:val="none" w:sz="0" w:space="0" w:color="auto"/>
        <w:right w:val="none" w:sz="0" w:space="0" w:color="auto"/>
      </w:divBdr>
    </w:div>
    <w:div w:id="239366986">
      <w:bodyDiv w:val="1"/>
      <w:marLeft w:val="0"/>
      <w:marRight w:val="0"/>
      <w:marTop w:val="0"/>
      <w:marBottom w:val="0"/>
      <w:divBdr>
        <w:top w:val="none" w:sz="0" w:space="0" w:color="auto"/>
        <w:left w:val="none" w:sz="0" w:space="0" w:color="auto"/>
        <w:bottom w:val="none" w:sz="0" w:space="0" w:color="auto"/>
        <w:right w:val="none" w:sz="0" w:space="0" w:color="auto"/>
      </w:divBdr>
    </w:div>
    <w:div w:id="274949051">
      <w:bodyDiv w:val="1"/>
      <w:marLeft w:val="0"/>
      <w:marRight w:val="0"/>
      <w:marTop w:val="0"/>
      <w:marBottom w:val="0"/>
      <w:divBdr>
        <w:top w:val="none" w:sz="0" w:space="0" w:color="auto"/>
        <w:left w:val="none" w:sz="0" w:space="0" w:color="auto"/>
        <w:bottom w:val="none" w:sz="0" w:space="0" w:color="auto"/>
        <w:right w:val="none" w:sz="0" w:space="0" w:color="auto"/>
      </w:divBdr>
    </w:div>
    <w:div w:id="364790153">
      <w:bodyDiv w:val="1"/>
      <w:marLeft w:val="0"/>
      <w:marRight w:val="0"/>
      <w:marTop w:val="0"/>
      <w:marBottom w:val="0"/>
      <w:divBdr>
        <w:top w:val="none" w:sz="0" w:space="0" w:color="auto"/>
        <w:left w:val="none" w:sz="0" w:space="0" w:color="auto"/>
        <w:bottom w:val="none" w:sz="0" w:space="0" w:color="auto"/>
        <w:right w:val="none" w:sz="0" w:space="0" w:color="auto"/>
      </w:divBdr>
    </w:div>
    <w:div w:id="371928691">
      <w:bodyDiv w:val="1"/>
      <w:marLeft w:val="0"/>
      <w:marRight w:val="0"/>
      <w:marTop w:val="0"/>
      <w:marBottom w:val="0"/>
      <w:divBdr>
        <w:top w:val="none" w:sz="0" w:space="0" w:color="auto"/>
        <w:left w:val="none" w:sz="0" w:space="0" w:color="auto"/>
        <w:bottom w:val="none" w:sz="0" w:space="0" w:color="auto"/>
        <w:right w:val="none" w:sz="0" w:space="0" w:color="auto"/>
      </w:divBdr>
    </w:div>
    <w:div w:id="377360653">
      <w:bodyDiv w:val="1"/>
      <w:marLeft w:val="0"/>
      <w:marRight w:val="0"/>
      <w:marTop w:val="0"/>
      <w:marBottom w:val="0"/>
      <w:divBdr>
        <w:top w:val="none" w:sz="0" w:space="0" w:color="auto"/>
        <w:left w:val="none" w:sz="0" w:space="0" w:color="auto"/>
        <w:bottom w:val="none" w:sz="0" w:space="0" w:color="auto"/>
        <w:right w:val="none" w:sz="0" w:space="0" w:color="auto"/>
      </w:divBdr>
    </w:div>
    <w:div w:id="379979985">
      <w:bodyDiv w:val="1"/>
      <w:marLeft w:val="0"/>
      <w:marRight w:val="0"/>
      <w:marTop w:val="0"/>
      <w:marBottom w:val="0"/>
      <w:divBdr>
        <w:top w:val="none" w:sz="0" w:space="0" w:color="auto"/>
        <w:left w:val="none" w:sz="0" w:space="0" w:color="auto"/>
        <w:bottom w:val="none" w:sz="0" w:space="0" w:color="auto"/>
        <w:right w:val="none" w:sz="0" w:space="0" w:color="auto"/>
      </w:divBdr>
    </w:div>
    <w:div w:id="426854056">
      <w:bodyDiv w:val="1"/>
      <w:marLeft w:val="0"/>
      <w:marRight w:val="0"/>
      <w:marTop w:val="0"/>
      <w:marBottom w:val="0"/>
      <w:divBdr>
        <w:top w:val="none" w:sz="0" w:space="0" w:color="auto"/>
        <w:left w:val="none" w:sz="0" w:space="0" w:color="auto"/>
        <w:bottom w:val="none" w:sz="0" w:space="0" w:color="auto"/>
        <w:right w:val="none" w:sz="0" w:space="0" w:color="auto"/>
      </w:divBdr>
    </w:div>
    <w:div w:id="472213058">
      <w:bodyDiv w:val="1"/>
      <w:marLeft w:val="0"/>
      <w:marRight w:val="0"/>
      <w:marTop w:val="0"/>
      <w:marBottom w:val="0"/>
      <w:divBdr>
        <w:top w:val="none" w:sz="0" w:space="0" w:color="auto"/>
        <w:left w:val="none" w:sz="0" w:space="0" w:color="auto"/>
        <w:bottom w:val="none" w:sz="0" w:space="0" w:color="auto"/>
        <w:right w:val="none" w:sz="0" w:space="0" w:color="auto"/>
      </w:divBdr>
    </w:div>
    <w:div w:id="550380490">
      <w:bodyDiv w:val="1"/>
      <w:marLeft w:val="0"/>
      <w:marRight w:val="0"/>
      <w:marTop w:val="0"/>
      <w:marBottom w:val="0"/>
      <w:divBdr>
        <w:top w:val="none" w:sz="0" w:space="0" w:color="auto"/>
        <w:left w:val="none" w:sz="0" w:space="0" w:color="auto"/>
        <w:bottom w:val="none" w:sz="0" w:space="0" w:color="auto"/>
        <w:right w:val="none" w:sz="0" w:space="0" w:color="auto"/>
      </w:divBdr>
    </w:div>
    <w:div w:id="603269103">
      <w:bodyDiv w:val="1"/>
      <w:marLeft w:val="0"/>
      <w:marRight w:val="0"/>
      <w:marTop w:val="0"/>
      <w:marBottom w:val="0"/>
      <w:divBdr>
        <w:top w:val="none" w:sz="0" w:space="0" w:color="auto"/>
        <w:left w:val="none" w:sz="0" w:space="0" w:color="auto"/>
        <w:bottom w:val="none" w:sz="0" w:space="0" w:color="auto"/>
        <w:right w:val="none" w:sz="0" w:space="0" w:color="auto"/>
      </w:divBdr>
    </w:div>
    <w:div w:id="638876295">
      <w:bodyDiv w:val="1"/>
      <w:marLeft w:val="0"/>
      <w:marRight w:val="0"/>
      <w:marTop w:val="0"/>
      <w:marBottom w:val="0"/>
      <w:divBdr>
        <w:top w:val="none" w:sz="0" w:space="0" w:color="auto"/>
        <w:left w:val="none" w:sz="0" w:space="0" w:color="auto"/>
        <w:bottom w:val="none" w:sz="0" w:space="0" w:color="auto"/>
        <w:right w:val="none" w:sz="0" w:space="0" w:color="auto"/>
      </w:divBdr>
    </w:div>
    <w:div w:id="671180372">
      <w:bodyDiv w:val="1"/>
      <w:marLeft w:val="0"/>
      <w:marRight w:val="0"/>
      <w:marTop w:val="0"/>
      <w:marBottom w:val="0"/>
      <w:divBdr>
        <w:top w:val="none" w:sz="0" w:space="0" w:color="auto"/>
        <w:left w:val="none" w:sz="0" w:space="0" w:color="auto"/>
        <w:bottom w:val="none" w:sz="0" w:space="0" w:color="auto"/>
        <w:right w:val="none" w:sz="0" w:space="0" w:color="auto"/>
      </w:divBdr>
    </w:div>
    <w:div w:id="684333154">
      <w:bodyDiv w:val="1"/>
      <w:marLeft w:val="0"/>
      <w:marRight w:val="0"/>
      <w:marTop w:val="0"/>
      <w:marBottom w:val="0"/>
      <w:divBdr>
        <w:top w:val="none" w:sz="0" w:space="0" w:color="auto"/>
        <w:left w:val="none" w:sz="0" w:space="0" w:color="auto"/>
        <w:bottom w:val="none" w:sz="0" w:space="0" w:color="auto"/>
        <w:right w:val="none" w:sz="0" w:space="0" w:color="auto"/>
      </w:divBdr>
    </w:div>
    <w:div w:id="709108033">
      <w:bodyDiv w:val="1"/>
      <w:marLeft w:val="0"/>
      <w:marRight w:val="0"/>
      <w:marTop w:val="0"/>
      <w:marBottom w:val="0"/>
      <w:divBdr>
        <w:top w:val="none" w:sz="0" w:space="0" w:color="auto"/>
        <w:left w:val="none" w:sz="0" w:space="0" w:color="auto"/>
        <w:bottom w:val="none" w:sz="0" w:space="0" w:color="auto"/>
        <w:right w:val="none" w:sz="0" w:space="0" w:color="auto"/>
      </w:divBdr>
    </w:div>
    <w:div w:id="726684675">
      <w:bodyDiv w:val="1"/>
      <w:marLeft w:val="0"/>
      <w:marRight w:val="0"/>
      <w:marTop w:val="0"/>
      <w:marBottom w:val="0"/>
      <w:divBdr>
        <w:top w:val="none" w:sz="0" w:space="0" w:color="auto"/>
        <w:left w:val="none" w:sz="0" w:space="0" w:color="auto"/>
        <w:bottom w:val="none" w:sz="0" w:space="0" w:color="auto"/>
        <w:right w:val="none" w:sz="0" w:space="0" w:color="auto"/>
      </w:divBdr>
    </w:div>
    <w:div w:id="743993416">
      <w:bodyDiv w:val="1"/>
      <w:marLeft w:val="0"/>
      <w:marRight w:val="0"/>
      <w:marTop w:val="0"/>
      <w:marBottom w:val="0"/>
      <w:divBdr>
        <w:top w:val="none" w:sz="0" w:space="0" w:color="auto"/>
        <w:left w:val="none" w:sz="0" w:space="0" w:color="auto"/>
        <w:bottom w:val="none" w:sz="0" w:space="0" w:color="auto"/>
        <w:right w:val="none" w:sz="0" w:space="0" w:color="auto"/>
      </w:divBdr>
    </w:div>
    <w:div w:id="795684175">
      <w:bodyDiv w:val="1"/>
      <w:marLeft w:val="0"/>
      <w:marRight w:val="0"/>
      <w:marTop w:val="0"/>
      <w:marBottom w:val="0"/>
      <w:divBdr>
        <w:top w:val="none" w:sz="0" w:space="0" w:color="auto"/>
        <w:left w:val="none" w:sz="0" w:space="0" w:color="auto"/>
        <w:bottom w:val="none" w:sz="0" w:space="0" w:color="auto"/>
        <w:right w:val="none" w:sz="0" w:space="0" w:color="auto"/>
      </w:divBdr>
    </w:div>
    <w:div w:id="862060875">
      <w:bodyDiv w:val="1"/>
      <w:marLeft w:val="0"/>
      <w:marRight w:val="0"/>
      <w:marTop w:val="0"/>
      <w:marBottom w:val="0"/>
      <w:divBdr>
        <w:top w:val="none" w:sz="0" w:space="0" w:color="auto"/>
        <w:left w:val="none" w:sz="0" w:space="0" w:color="auto"/>
        <w:bottom w:val="none" w:sz="0" w:space="0" w:color="auto"/>
        <w:right w:val="none" w:sz="0" w:space="0" w:color="auto"/>
      </w:divBdr>
    </w:div>
    <w:div w:id="895824651">
      <w:bodyDiv w:val="1"/>
      <w:marLeft w:val="0"/>
      <w:marRight w:val="0"/>
      <w:marTop w:val="0"/>
      <w:marBottom w:val="0"/>
      <w:divBdr>
        <w:top w:val="none" w:sz="0" w:space="0" w:color="auto"/>
        <w:left w:val="none" w:sz="0" w:space="0" w:color="auto"/>
        <w:bottom w:val="none" w:sz="0" w:space="0" w:color="auto"/>
        <w:right w:val="none" w:sz="0" w:space="0" w:color="auto"/>
      </w:divBdr>
    </w:div>
    <w:div w:id="922689470">
      <w:bodyDiv w:val="1"/>
      <w:marLeft w:val="0"/>
      <w:marRight w:val="0"/>
      <w:marTop w:val="0"/>
      <w:marBottom w:val="0"/>
      <w:divBdr>
        <w:top w:val="none" w:sz="0" w:space="0" w:color="auto"/>
        <w:left w:val="none" w:sz="0" w:space="0" w:color="auto"/>
        <w:bottom w:val="none" w:sz="0" w:space="0" w:color="auto"/>
        <w:right w:val="none" w:sz="0" w:space="0" w:color="auto"/>
      </w:divBdr>
    </w:div>
    <w:div w:id="955454310">
      <w:bodyDiv w:val="1"/>
      <w:marLeft w:val="0"/>
      <w:marRight w:val="0"/>
      <w:marTop w:val="0"/>
      <w:marBottom w:val="0"/>
      <w:divBdr>
        <w:top w:val="none" w:sz="0" w:space="0" w:color="auto"/>
        <w:left w:val="none" w:sz="0" w:space="0" w:color="auto"/>
        <w:bottom w:val="none" w:sz="0" w:space="0" w:color="auto"/>
        <w:right w:val="none" w:sz="0" w:space="0" w:color="auto"/>
      </w:divBdr>
    </w:div>
    <w:div w:id="957100771">
      <w:bodyDiv w:val="1"/>
      <w:marLeft w:val="0"/>
      <w:marRight w:val="0"/>
      <w:marTop w:val="0"/>
      <w:marBottom w:val="0"/>
      <w:divBdr>
        <w:top w:val="none" w:sz="0" w:space="0" w:color="auto"/>
        <w:left w:val="none" w:sz="0" w:space="0" w:color="auto"/>
        <w:bottom w:val="none" w:sz="0" w:space="0" w:color="auto"/>
        <w:right w:val="none" w:sz="0" w:space="0" w:color="auto"/>
      </w:divBdr>
    </w:div>
    <w:div w:id="957419256">
      <w:bodyDiv w:val="1"/>
      <w:marLeft w:val="0"/>
      <w:marRight w:val="0"/>
      <w:marTop w:val="0"/>
      <w:marBottom w:val="0"/>
      <w:divBdr>
        <w:top w:val="none" w:sz="0" w:space="0" w:color="auto"/>
        <w:left w:val="none" w:sz="0" w:space="0" w:color="auto"/>
        <w:bottom w:val="none" w:sz="0" w:space="0" w:color="auto"/>
        <w:right w:val="none" w:sz="0" w:space="0" w:color="auto"/>
      </w:divBdr>
    </w:div>
    <w:div w:id="995188540">
      <w:bodyDiv w:val="1"/>
      <w:marLeft w:val="0"/>
      <w:marRight w:val="0"/>
      <w:marTop w:val="0"/>
      <w:marBottom w:val="0"/>
      <w:divBdr>
        <w:top w:val="none" w:sz="0" w:space="0" w:color="auto"/>
        <w:left w:val="none" w:sz="0" w:space="0" w:color="auto"/>
        <w:bottom w:val="none" w:sz="0" w:space="0" w:color="auto"/>
        <w:right w:val="none" w:sz="0" w:space="0" w:color="auto"/>
      </w:divBdr>
    </w:div>
    <w:div w:id="1007828452">
      <w:bodyDiv w:val="1"/>
      <w:marLeft w:val="0"/>
      <w:marRight w:val="0"/>
      <w:marTop w:val="0"/>
      <w:marBottom w:val="0"/>
      <w:divBdr>
        <w:top w:val="none" w:sz="0" w:space="0" w:color="auto"/>
        <w:left w:val="none" w:sz="0" w:space="0" w:color="auto"/>
        <w:bottom w:val="none" w:sz="0" w:space="0" w:color="auto"/>
        <w:right w:val="none" w:sz="0" w:space="0" w:color="auto"/>
      </w:divBdr>
    </w:div>
    <w:div w:id="1060833040">
      <w:bodyDiv w:val="1"/>
      <w:marLeft w:val="0"/>
      <w:marRight w:val="0"/>
      <w:marTop w:val="0"/>
      <w:marBottom w:val="0"/>
      <w:divBdr>
        <w:top w:val="none" w:sz="0" w:space="0" w:color="auto"/>
        <w:left w:val="none" w:sz="0" w:space="0" w:color="auto"/>
        <w:bottom w:val="none" w:sz="0" w:space="0" w:color="auto"/>
        <w:right w:val="none" w:sz="0" w:space="0" w:color="auto"/>
      </w:divBdr>
    </w:div>
    <w:div w:id="1188910839">
      <w:bodyDiv w:val="1"/>
      <w:marLeft w:val="0"/>
      <w:marRight w:val="0"/>
      <w:marTop w:val="0"/>
      <w:marBottom w:val="0"/>
      <w:divBdr>
        <w:top w:val="none" w:sz="0" w:space="0" w:color="auto"/>
        <w:left w:val="none" w:sz="0" w:space="0" w:color="auto"/>
        <w:bottom w:val="none" w:sz="0" w:space="0" w:color="auto"/>
        <w:right w:val="none" w:sz="0" w:space="0" w:color="auto"/>
      </w:divBdr>
    </w:div>
    <w:div w:id="1197082764">
      <w:bodyDiv w:val="1"/>
      <w:marLeft w:val="0"/>
      <w:marRight w:val="0"/>
      <w:marTop w:val="0"/>
      <w:marBottom w:val="0"/>
      <w:divBdr>
        <w:top w:val="none" w:sz="0" w:space="0" w:color="auto"/>
        <w:left w:val="none" w:sz="0" w:space="0" w:color="auto"/>
        <w:bottom w:val="none" w:sz="0" w:space="0" w:color="auto"/>
        <w:right w:val="none" w:sz="0" w:space="0" w:color="auto"/>
      </w:divBdr>
    </w:div>
    <w:div w:id="1276254957">
      <w:bodyDiv w:val="1"/>
      <w:marLeft w:val="0"/>
      <w:marRight w:val="0"/>
      <w:marTop w:val="0"/>
      <w:marBottom w:val="0"/>
      <w:divBdr>
        <w:top w:val="none" w:sz="0" w:space="0" w:color="auto"/>
        <w:left w:val="none" w:sz="0" w:space="0" w:color="auto"/>
        <w:bottom w:val="none" w:sz="0" w:space="0" w:color="auto"/>
        <w:right w:val="none" w:sz="0" w:space="0" w:color="auto"/>
      </w:divBdr>
    </w:div>
    <w:div w:id="1288973736">
      <w:bodyDiv w:val="1"/>
      <w:marLeft w:val="0"/>
      <w:marRight w:val="0"/>
      <w:marTop w:val="0"/>
      <w:marBottom w:val="0"/>
      <w:divBdr>
        <w:top w:val="none" w:sz="0" w:space="0" w:color="auto"/>
        <w:left w:val="none" w:sz="0" w:space="0" w:color="auto"/>
        <w:bottom w:val="none" w:sz="0" w:space="0" w:color="auto"/>
        <w:right w:val="none" w:sz="0" w:space="0" w:color="auto"/>
      </w:divBdr>
    </w:div>
    <w:div w:id="1291742582">
      <w:bodyDiv w:val="1"/>
      <w:marLeft w:val="0"/>
      <w:marRight w:val="0"/>
      <w:marTop w:val="0"/>
      <w:marBottom w:val="0"/>
      <w:divBdr>
        <w:top w:val="none" w:sz="0" w:space="0" w:color="auto"/>
        <w:left w:val="none" w:sz="0" w:space="0" w:color="auto"/>
        <w:bottom w:val="none" w:sz="0" w:space="0" w:color="auto"/>
        <w:right w:val="none" w:sz="0" w:space="0" w:color="auto"/>
      </w:divBdr>
    </w:div>
    <w:div w:id="1441028269">
      <w:bodyDiv w:val="1"/>
      <w:marLeft w:val="0"/>
      <w:marRight w:val="0"/>
      <w:marTop w:val="0"/>
      <w:marBottom w:val="0"/>
      <w:divBdr>
        <w:top w:val="none" w:sz="0" w:space="0" w:color="auto"/>
        <w:left w:val="none" w:sz="0" w:space="0" w:color="auto"/>
        <w:bottom w:val="none" w:sz="0" w:space="0" w:color="auto"/>
        <w:right w:val="none" w:sz="0" w:space="0" w:color="auto"/>
      </w:divBdr>
    </w:div>
    <w:div w:id="1487941814">
      <w:bodyDiv w:val="1"/>
      <w:marLeft w:val="0"/>
      <w:marRight w:val="0"/>
      <w:marTop w:val="0"/>
      <w:marBottom w:val="0"/>
      <w:divBdr>
        <w:top w:val="none" w:sz="0" w:space="0" w:color="auto"/>
        <w:left w:val="none" w:sz="0" w:space="0" w:color="auto"/>
        <w:bottom w:val="none" w:sz="0" w:space="0" w:color="auto"/>
        <w:right w:val="none" w:sz="0" w:space="0" w:color="auto"/>
      </w:divBdr>
    </w:div>
    <w:div w:id="1502042312">
      <w:bodyDiv w:val="1"/>
      <w:marLeft w:val="0"/>
      <w:marRight w:val="0"/>
      <w:marTop w:val="0"/>
      <w:marBottom w:val="0"/>
      <w:divBdr>
        <w:top w:val="none" w:sz="0" w:space="0" w:color="auto"/>
        <w:left w:val="none" w:sz="0" w:space="0" w:color="auto"/>
        <w:bottom w:val="none" w:sz="0" w:space="0" w:color="auto"/>
        <w:right w:val="none" w:sz="0" w:space="0" w:color="auto"/>
      </w:divBdr>
    </w:div>
    <w:div w:id="1641879316">
      <w:bodyDiv w:val="1"/>
      <w:marLeft w:val="0"/>
      <w:marRight w:val="0"/>
      <w:marTop w:val="0"/>
      <w:marBottom w:val="0"/>
      <w:divBdr>
        <w:top w:val="none" w:sz="0" w:space="0" w:color="auto"/>
        <w:left w:val="none" w:sz="0" w:space="0" w:color="auto"/>
        <w:bottom w:val="none" w:sz="0" w:space="0" w:color="auto"/>
        <w:right w:val="none" w:sz="0" w:space="0" w:color="auto"/>
      </w:divBdr>
    </w:div>
    <w:div w:id="1647468132">
      <w:bodyDiv w:val="1"/>
      <w:marLeft w:val="0"/>
      <w:marRight w:val="0"/>
      <w:marTop w:val="0"/>
      <w:marBottom w:val="0"/>
      <w:divBdr>
        <w:top w:val="none" w:sz="0" w:space="0" w:color="auto"/>
        <w:left w:val="none" w:sz="0" w:space="0" w:color="auto"/>
        <w:bottom w:val="none" w:sz="0" w:space="0" w:color="auto"/>
        <w:right w:val="none" w:sz="0" w:space="0" w:color="auto"/>
      </w:divBdr>
    </w:div>
    <w:div w:id="1714111932">
      <w:bodyDiv w:val="1"/>
      <w:marLeft w:val="0"/>
      <w:marRight w:val="0"/>
      <w:marTop w:val="0"/>
      <w:marBottom w:val="0"/>
      <w:divBdr>
        <w:top w:val="none" w:sz="0" w:space="0" w:color="auto"/>
        <w:left w:val="none" w:sz="0" w:space="0" w:color="auto"/>
        <w:bottom w:val="none" w:sz="0" w:space="0" w:color="auto"/>
        <w:right w:val="none" w:sz="0" w:space="0" w:color="auto"/>
      </w:divBdr>
    </w:div>
    <w:div w:id="1735661173">
      <w:bodyDiv w:val="1"/>
      <w:marLeft w:val="0"/>
      <w:marRight w:val="0"/>
      <w:marTop w:val="0"/>
      <w:marBottom w:val="0"/>
      <w:divBdr>
        <w:top w:val="none" w:sz="0" w:space="0" w:color="auto"/>
        <w:left w:val="none" w:sz="0" w:space="0" w:color="auto"/>
        <w:bottom w:val="none" w:sz="0" w:space="0" w:color="auto"/>
        <w:right w:val="none" w:sz="0" w:space="0" w:color="auto"/>
      </w:divBdr>
    </w:div>
    <w:div w:id="1870557502">
      <w:bodyDiv w:val="1"/>
      <w:marLeft w:val="0"/>
      <w:marRight w:val="0"/>
      <w:marTop w:val="0"/>
      <w:marBottom w:val="0"/>
      <w:divBdr>
        <w:top w:val="none" w:sz="0" w:space="0" w:color="auto"/>
        <w:left w:val="none" w:sz="0" w:space="0" w:color="auto"/>
        <w:bottom w:val="none" w:sz="0" w:space="0" w:color="auto"/>
        <w:right w:val="none" w:sz="0" w:space="0" w:color="auto"/>
      </w:divBdr>
    </w:div>
    <w:div w:id="1945385769">
      <w:bodyDiv w:val="1"/>
      <w:marLeft w:val="0"/>
      <w:marRight w:val="0"/>
      <w:marTop w:val="0"/>
      <w:marBottom w:val="0"/>
      <w:divBdr>
        <w:top w:val="none" w:sz="0" w:space="0" w:color="auto"/>
        <w:left w:val="none" w:sz="0" w:space="0" w:color="auto"/>
        <w:bottom w:val="none" w:sz="0" w:space="0" w:color="auto"/>
        <w:right w:val="none" w:sz="0" w:space="0" w:color="auto"/>
      </w:divBdr>
    </w:div>
    <w:div w:id="2052338060">
      <w:bodyDiv w:val="1"/>
      <w:marLeft w:val="0"/>
      <w:marRight w:val="0"/>
      <w:marTop w:val="0"/>
      <w:marBottom w:val="0"/>
      <w:divBdr>
        <w:top w:val="none" w:sz="0" w:space="0" w:color="auto"/>
        <w:left w:val="none" w:sz="0" w:space="0" w:color="auto"/>
        <w:bottom w:val="none" w:sz="0" w:space="0" w:color="auto"/>
        <w:right w:val="none" w:sz="0" w:space="0" w:color="auto"/>
      </w:divBdr>
    </w:div>
    <w:div w:id="2134326046">
      <w:bodyDiv w:val="1"/>
      <w:marLeft w:val="0"/>
      <w:marRight w:val="0"/>
      <w:marTop w:val="0"/>
      <w:marBottom w:val="0"/>
      <w:divBdr>
        <w:top w:val="none" w:sz="0" w:space="0" w:color="auto"/>
        <w:left w:val="none" w:sz="0" w:space="0" w:color="auto"/>
        <w:bottom w:val="none" w:sz="0" w:space="0" w:color="auto"/>
        <w:right w:val="none" w:sz="0" w:space="0" w:color="auto"/>
      </w:divBdr>
    </w:div>
    <w:div w:id="214434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F943D-6802-4B5A-B2AB-93C23A35D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1018</Words>
  <Characters>5805</Characters>
  <Application>Microsoft Office Word</Application>
  <DocSecurity>4</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Arzu Kııç</cp:lastModifiedBy>
  <cp:revision>2</cp:revision>
  <cp:lastPrinted>2019-02-19T13:11:00Z</cp:lastPrinted>
  <dcterms:created xsi:type="dcterms:W3CDTF">2019-03-30T17:13:00Z</dcterms:created>
  <dcterms:modified xsi:type="dcterms:W3CDTF">2019-03-30T17:13:00Z</dcterms:modified>
</cp:coreProperties>
</file>